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9993" w:type="dxa"/>
        <w:tblInd w:w="-169" w:type="dxa"/>
        <w:tblLayout w:type="fixed"/>
        <w:tblLook w:val="0000" w:firstRow="0" w:lastRow="0" w:firstColumn="0" w:lastColumn="0" w:noHBand="0" w:noVBand="0"/>
      </w:tblPr>
      <w:tblGrid>
        <w:gridCol w:w="4112"/>
        <w:gridCol w:w="5881"/>
      </w:tblGrid>
      <w:tr w:rsidR="004C0F09" w:rsidRPr="004C0F09" w14:paraId="66C09944" w14:textId="77777777" w:rsidTr="00C34900">
        <w:trPr>
          <w:trHeight w:val="983"/>
        </w:trPr>
        <w:tc>
          <w:tcPr>
            <w:tcW w:w="4112" w:type="dxa"/>
          </w:tcPr>
          <w:p w14:paraId="1A1C1531" w14:textId="51EFFF3E" w:rsidR="003D57C3" w:rsidRPr="004C0F09" w:rsidRDefault="007C082E" w:rsidP="00FB35B6">
            <w:pPr>
              <w:ind w:firstLine="34"/>
              <w:jc w:val="center"/>
              <w:rPr>
                <w:b/>
                <w:color w:val="000000" w:themeColor="text1"/>
                <w:sz w:val="26"/>
                <w:szCs w:val="26"/>
              </w:rPr>
            </w:pPr>
            <w:r>
              <w:rPr>
                <w:b/>
                <w:color w:val="000000" w:themeColor="text1"/>
                <w:sz w:val="26"/>
                <w:szCs w:val="26"/>
              </w:rPr>
              <w:t>ỦY</w:t>
            </w:r>
            <w:r w:rsidR="00243F28" w:rsidRPr="004C0F09">
              <w:rPr>
                <w:b/>
                <w:color w:val="000000" w:themeColor="text1"/>
                <w:sz w:val="26"/>
                <w:szCs w:val="26"/>
              </w:rPr>
              <w:t xml:space="preserve"> BAN NHÂN DÂN</w:t>
            </w:r>
          </w:p>
          <w:p w14:paraId="4265BB30" w14:textId="77777777" w:rsidR="003D57C3" w:rsidRPr="004C0F09" w:rsidRDefault="00243F28" w:rsidP="00FB35B6">
            <w:pPr>
              <w:ind w:firstLine="34"/>
              <w:jc w:val="center"/>
              <w:rPr>
                <w:b/>
                <w:color w:val="000000" w:themeColor="text1"/>
                <w:sz w:val="26"/>
                <w:szCs w:val="26"/>
              </w:rPr>
            </w:pPr>
            <w:r w:rsidRPr="004C0F09">
              <w:rPr>
                <w:b/>
                <w:color w:val="000000" w:themeColor="text1"/>
                <w:sz w:val="26"/>
                <w:szCs w:val="26"/>
              </w:rPr>
              <w:t>THÀNH PHỐ ĐÀ NẴNG</w:t>
            </w:r>
          </w:p>
          <w:p w14:paraId="53CAF7BA" w14:textId="008C64BD" w:rsidR="003D57C3" w:rsidRPr="004C0F09" w:rsidRDefault="005F2B8C" w:rsidP="00FB35B6">
            <w:pPr>
              <w:pStyle w:val="Heading3"/>
              <w:spacing w:before="0" w:after="0"/>
              <w:ind w:firstLine="33"/>
              <w:rPr>
                <w:color w:val="000000" w:themeColor="text1"/>
              </w:rPr>
            </w:pPr>
            <w:r>
              <w:rPr>
                <w:noProof/>
                <w:color w:val="000000" w:themeColor="text1"/>
                <w:lang w:val="en-US" w:eastAsia="ja-JP"/>
              </w:rPr>
              <mc:AlternateContent>
                <mc:Choice Requires="wps">
                  <w:drawing>
                    <wp:anchor distT="0" distB="0" distL="114300" distR="114300" simplePos="0" relativeHeight="251663360" behindDoc="0" locked="0" layoutInCell="1" allowOverlap="1" wp14:anchorId="2224CAFE" wp14:editId="6C0279C3">
                      <wp:simplePos x="0" y="0"/>
                      <wp:positionH relativeFrom="column">
                        <wp:posOffset>810260</wp:posOffset>
                      </wp:positionH>
                      <wp:positionV relativeFrom="paragraph">
                        <wp:posOffset>17145</wp:posOffset>
                      </wp:positionV>
                      <wp:extent cx="86106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8610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oel="http://schemas.microsoft.com/office/2019/extlst">
                  <w:pict>
                    <v:line w14:anchorId="3360DBBA"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3.8pt,1.35pt" to="131.6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" strokecolor="black [3213]" strokeweight="1pt">
                      <v:stroke joinstyle="miter"/>
                    </v:line>
                  </w:pict>
                </mc:Fallback>
              </mc:AlternateContent>
            </w:r>
          </w:p>
          <w:p w14:paraId="2C8E8BDD" w14:textId="46B968A3" w:rsidR="003D57C3" w:rsidRPr="004C0F09" w:rsidRDefault="008A3BA9" w:rsidP="00FB35B6">
            <w:pPr>
              <w:pBdr>
                <w:top w:val="nil"/>
                <w:left w:val="nil"/>
                <w:bottom w:val="nil"/>
                <w:right w:val="nil"/>
                <w:between w:val="nil"/>
              </w:pBdr>
              <w:ind w:left="360"/>
              <w:jc w:val="left"/>
              <w:rPr>
                <w:color w:val="000000" w:themeColor="text1"/>
              </w:rPr>
            </w:pPr>
            <w:r w:rsidRPr="004C0F09">
              <w:rPr>
                <w:noProof/>
                <w:color w:val="000000" w:themeColor="text1"/>
                <w:lang w:val="en-US" w:eastAsia="ja-JP"/>
              </w:rPr>
              <mc:AlternateContent>
                <mc:Choice Requires="wps">
                  <w:drawing>
                    <wp:anchor distT="0" distB="0" distL="114300" distR="114300" simplePos="0" relativeHeight="251659264" behindDoc="0" locked="0" layoutInCell="1" hidden="0" allowOverlap="1" wp14:anchorId="34A21C23" wp14:editId="4B35DD34">
                      <wp:simplePos x="0" y="0"/>
                      <wp:positionH relativeFrom="column">
                        <wp:posOffset>354330</wp:posOffset>
                      </wp:positionH>
                      <wp:positionV relativeFrom="paragraph">
                        <wp:posOffset>57785</wp:posOffset>
                      </wp:positionV>
                      <wp:extent cx="1295400" cy="3048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295400" cy="304800"/>
                              </a:xfrm>
                              <a:prstGeom prst="rect">
                                <a:avLst/>
                              </a:prstGeom>
                              <a:solidFill>
                                <a:schemeClr val="lt1"/>
                              </a:solidFill>
                              <a:ln w="9525" cap="flat" cmpd="sng">
                                <a:solidFill>
                                  <a:srgbClr val="000000"/>
                                </a:solidFill>
                                <a:prstDash val="solid"/>
                                <a:round/>
                                <a:headEnd type="none" w="sm" len="sm"/>
                                <a:tailEnd type="none" w="sm" len="sm"/>
                              </a:ln>
                            </wps:spPr>
                            <wps:txbx>
                              <w:txbxContent>
                                <w:p w14:paraId="3F395B92" w14:textId="25F32FD0" w:rsidR="003D57C3" w:rsidRPr="00732A33" w:rsidRDefault="00243F28">
                                  <w:pPr>
                                    <w:jc w:val="center"/>
                                    <w:textDirection w:val="btLr"/>
                                    <w:rPr>
                                      <w:bCs/>
                                      <w:lang w:val="en-US"/>
                                    </w:rPr>
                                  </w:pPr>
                                  <w:r w:rsidRPr="00732A33">
                                    <w:rPr>
                                      <w:bCs/>
                                    </w:rPr>
                                    <w:t>DỰ THẢO</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34A21C23" id="Rectangle 8" o:spid="_x0000_s1026" style="position:absolute;left:0;text-align:left;margin-left:27.9pt;margin-top:4.55pt;width:102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" fillcolor="white [3201]">
                      <v:stroke startarrowwidth="narrow" startarrowlength="short" endarrowwidth="narrow" endarrowlength="short" joinstyle="round"/>
                      <v:textbox inset="2.53958mm,1.2694mm,2.53958mm,1.2694mm">
                        <w:txbxContent>
                          <w:p w14:paraId="3F395B92" w14:textId="25F32FD0" w:rsidR="003D57C3" w:rsidRPr="00732A33" w:rsidRDefault="00243F28">
                            <w:pPr>
                              <w:jc w:val="center"/>
                              <w:textDirection w:val="btLr"/>
                              <w:rPr>
                                <w:bCs/>
                                <w:lang w:val="en-US"/>
                              </w:rPr>
                            </w:pPr>
                            <w:r w:rsidRPr="00732A33">
                              <w:rPr>
                                <w:bCs/>
                              </w:rPr>
                              <w:t>DỰ THẢO</w:t>
                            </w:r>
                          </w:p>
                        </w:txbxContent>
                      </v:textbox>
                    </v:rect>
                  </w:pict>
                </mc:Fallback>
              </mc:AlternateContent>
            </w:r>
          </w:p>
        </w:tc>
        <w:tc>
          <w:tcPr>
            <w:tcW w:w="5881" w:type="dxa"/>
          </w:tcPr>
          <w:p w14:paraId="73986956" w14:textId="77777777" w:rsidR="003D57C3" w:rsidRPr="004C0F09" w:rsidRDefault="00243F28" w:rsidP="00FB35B6">
            <w:pPr>
              <w:pBdr>
                <w:top w:val="nil"/>
                <w:left w:val="nil"/>
                <w:bottom w:val="nil"/>
                <w:right w:val="nil"/>
                <w:between w:val="nil"/>
              </w:pBdr>
              <w:ind w:firstLine="33"/>
              <w:jc w:val="center"/>
              <w:rPr>
                <w:b/>
                <w:color w:val="000000" w:themeColor="text1"/>
                <w:sz w:val="26"/>
                <w:szCs w:val="26"/>
              </w:rPr>
            </w:pPr>
            <w:r w:rsidRPr="004C0F09">
              <w:rPr>
                <w:b/>
                <w:color w:val="000000" w:themeColor="text1"/>
                <w:sz w:val="26"/>
                <w:szCs w:val="26"/>
              </w:rPr>
              <w:t>CỘNG HÒA XÃ HỘI CHỦ NGHĨA VIỆT NAM</w:t>
            </w:r>
          </w:p>
          <w:p w14:paraId="390DF018" w14:textId="77777777" w:rsidR="003D57C3" w:rsidRPr="004C0F09" w:rsidRDefault="005F2B8C" w:rsidP="00FB35B6">
            <w:pPr>
              <w:ind w:firstLine="33"/>
              <w:jc w:val="center"/>
              <w:rPr>
                <w:b/>
                <w:color w:val="000000" w:themeColor="text1"/>
              </w:rPr>
            </w:pPr>
            <w:r>
              <w:rPr>
                <w:b/>
                <w:noProof/>
                <w:color w:val="000000" w:themeColor="text1"/>
                <w:lang w:val="en-US" w:eastAsia="ja-JP"/>
              </w:rPr>
              <mc:AlternateContent>
                <mc:Choice Requires="wps">
                  <w:drawing>
                    <wp:anchor distT="0" distB="0" distL="114300" distR="114300" simplePos="0" relativeHeight="251662336" behindDoc="0" locked="0" layoutInCell="1" allowOverlap="1" wp14:anchorId="04FC9B7D" wp14:editId="41371950">
                      <wp:simplePos x="0" y="0"/>
                      <wp:positionH relativeFrom="column">
                        <wp:posOffset>722630</wp:posOffset>
                      </wp:positionH>
                      <wp:positionV relativeFrom="paragraph">
                        <wp:posOffset>215900</wp:posOffset>
                      </wp:positionV>
                      <wp:extent cx="214884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14884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oel="http://schemas.microsoft.com/office/2019/extlst">
                  <w:pict>
                    <v:line w14:anchorId="0EF2A6CB"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6.9pt,17pt" to="226.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" strokecolor="black [3213]" strokeweight="1pt">
                      <v:stroke joinstyle="miter"/>
                    </v:line>
                  </w:pict>
                </mc:Fallback>
              </mc:AlternateContent>
            </w:r>
            <w:r w:rsidR="00243F28" w:rsidRPr="004C0F09">
              <w:rPr>
                <w:b/>
                <w:color w:val="000000" w:themeColor="text1"/>
              </w:rPr>
              <w:t>Độc lập - Tự do - Hạnh phúc</w:t>
            </w:r>
          </w:p>
        </w:tc>
      </w:tr>
    </w:tbl>
    <w:p w14:paraId="05C4A9A9" w14:textId="77777777" w:rsidR="00FB35B6" w:rsidRDefault="00FB35B6">
      <w:pPr>
        <w:pBdr>
          <w:top w:val="nil"/>
          <w:left w:val="nil"/>
          <w:bottom w:val="nil"/>
          <w:right w:val="nil"/>
          <w:between w:val="nil"/>
        </w:pBdr>
        <w:spacing w:after="120" w:line="276" w:lineRule="auto"/>
        <w:ind w:left="360"/>
        <w:jc w:val="center"/>
        <w:rPr>
          <w:b/>
          <w:color w:val="000000" w:themeColor="text1"/>
          <w:lang w:val="en-US"/>
        </w:rPr>
      </w:pPr>
    </w:p>
    <w:p w14:paraId="1AD7F609" w14:textId="77777777" w:rsidR="00E75389" w:rsidRDefault="00E75389" w:rsidP="00FB35B6">
      <w:pPr>
        <w:pBdr>
          <w:top w:val="nil"/>
          <w:left w:val="nil"/>
          <w:bottom w:val="nil"/>
          <w:right w:val="nil"/>
          <w:between w:val="nil"/>
        </w:pBdr>
        <w:ind w:left="357"/>
        <w:jc w:val="center"/>
        <w:rPr>
          <w:b/>
          <w:color w:val="000000" w:themeColor="text1"/>
        </w:rPr>
      </w:pPr>
    </w:p>
    <w:p w14:paraId="64AD77B5" w14:textId="2578801F" w:rsidR="003D57C3" w:rsidRPr="004C0F09" w:rsidRDefault="00243F28" w:rsidP="00FB35B6">
      <w:pPr>
        <w:pBdr>
          <w:top w:val="nil"/>
          <w:left w:val="nil"/>
          <w:bottom w:val="nil"/>
          <w:right w:val="nil"/>
          <w:between w:val="nil"/>
        </w:pBdr>
        <w:ind w:left="357"/>
        <w:jc w:val="center"/>
        <w:rPr>
          <w:b/>
          <w:color w:val="000000" w:themeColor="text1"/>
        </w:rPr>
      </w:pPr>
      <w:r w:rsidRPr="004C0F09">
        <w:rPr>
          <w:b/>
          <w:color w:val="000000" w:themeColor="text1"/>
        </w:rPr>
        <w:t>ĐỀ ÁN</w:t>
      </w:r>
    </w:p>
    <w:p w14:paraId="6DD6473F" w14:textId="6A97F506" w:rsidR="00381B9D" w:rsidRPr="00C5659F" w:rsidRDefault="00243F28" w:rsidP="00FB35B6">
      <w:pPr>
        <w:pBdr>
          <w:top w:val="nil"/>
          <w:left w:val="nil"/>
          <w:bottom w:val="nil"/>
          <w:right w:val="nil"/>
          <w:between w:val="nil"/>
        </w:pBdr>
        <w:ind w:left="357"/>
        <w:jc w:val="center"/>
        <w:rPr>
          <w:b/>
          <w:color w:val="000000" w:themeColor="text1"/>
        </w:rPr>
      </w:pPr>
      <w:r w:rsidRPr="004C0F09">
        <w:rPr>
          <w:b/>
          <w:color w:val="000000" w:themeColor="text1"/>
        </w:rPr>
        <w:t xml:space="preserve">Quy định mức thu, đối tượng thu, nộp, chế độ quản lý, sử dụng             </w:t>
      </w:r>
      <w:r w:rsidR="008E49D0">
        <w:rPr>
          <w:b/>
          <w:color w:val="000000" w:themeColor="text1"/>
        </w:rPr>
        <w:t>p</w:t>
      </w:r>
      <w:r w:rsidRPr="004C0F09">
        <w:rPr>
          <w:b/>
          <w:color w:val="000000" w:themeColor="text1"/>
        </w:rPr>
        <w:t xml:space="preserve">hí thẩm định </w:t>
      </w:r>
      <w:r w:rsidR="00732A33">
        <w:rPr>
          <w:b/>
          <w:color w:val="000000" w:themeColor="text1"/>
        </w:rPr>
        <w:t>cấp, cấp lại, điều chỉnh giấy phép môi trường</w:t>
      </w:r>
      <w:r w:rsidR="00850256" w:rsidRPr="008E49D0">
        <w:rPr>
          <w:b/>
          <w:color w:val="000000" w:themeColor="text1"/>
        </w:rPr>
        <w:t xml:space="preserve"> </w:t>
      </w:r>
    </w:p>
    <w:p w14:paraId="50783CB0" w14:textId="77777777" w:rsidR="00850256" w:rsidRPr="008E49D0" w:rsidRDefault="00243F28" w:rsidP="00FB35B6">
      <w:pPr>
        <w:pBdr>
          <w:top w:val="nil"/>
          <w:left w:val="nil"/>
          <w:bottom w:val="nil"/>
          <w:right w:val="nil"/>
          <w:between w:val="nil"/>
        </w:pBdr>
        <w:ind w:left="357"/>
        <w:jc w:val="center"/>
        <w:rPr>
          <w:b/>
          <w:color w:val="000000" w:themeColor="text1"/>
        </w:rPr>
      </w:pPr>
      <w:r w:rsidRPr="004C0F09">
        <w:rPr>
          <w:b/>
          <w:color w:val="000000" w:themeColor="text1"/>
        </w:rPr>
        <w:t>t</w:t>
      </w:r>
      <w:r w:rsidR="00850256" w:rsidRPr="008E49D0">
        <w:rPr>
          <w:b/>
          <w:color w:val="000000" w:themeColor="text1"/>
        </w:rPr>
        <w:t>rên địa bàn t</w:t>
      </w:r>
      <w:r w:rsidRPr="004C0F09">
        <w:rPr>
          <w:b/>
          <w:color w:val="000000" w:themeColor="text1"/>
        </w:rPr>
        <w:t xml:space="preserve">hành phố Đà Nẵng </w:t>
      </w:r>
    </w:p>
    <w:p w14:paraId="2FBD0F12" w14:textId="277299FD" w:rsidR="003D57C3" w:rsidRPr="004C0F09" w:rsidRDefault="00243F28" w:rsidP="00850256">
      <w:pPr>
        <w:pBdr>
          <w:top w:val="nil"/>
          <w:left w:val="nil"/>
          <w:bottom w:val="nil"/>
          <w:right w:val="nil"/>
          <w:between w:val="nil"/>
        </w:pBdr>
        <w:ind w:left="360"/>
        <w:jc w:val="center"/>
        <w:rPr>
          <w:i/>
          <w:color w:val="000000" w:themeColor="text1"/>
        </w:rPr>
      </w:pPr>
      <w:r w:rsidRPr="004C0F09">
        <w:rPr>
          <w:i/>
          <w:color w:val="000000" w:themeColor="text1"/>
        </w:rPr>
        <w:t xml:space="preserve">(Kèm theo Tờ trình số   </w:t>
      </w:r>
      <w:r w:rsidR="008E49D0">
        <w:rPr>
          <w:i/>
          <w:color w:val="000000" w:themeColor="text1"/>
        </w:rPr>
        <w:t xml:space="preserve">   </w:t>
      </w:r>
      <w:r w:rsidRPr="004C0F09">
        <w:rPr>
          <w:i/>
          <w:color w:val="000000" w:themeColor="text1"/>
        </w:rPr>
        <w:t xml:space="preserve">     /TTr-UBND ngày </w:t>
      </w:r>
      <w:r w:rsidR="008E49D0">
        <w:rPr>
          <w:i/>
          <w:color w:val="000000" w:themeColor="text1"/>
        </w:rPr>
        <w:t xml:space="preserve"> </w:t>
      </w:r>
      <w:r w:rsidRPr="004C0F09">
        <w:rPr>
          <w:i/>
          <w:color w:val="000000" w:themeColor="text1"/>
        </w:rPr>
        <w:t xml:space="preserve">  </w:t>
      </w:r>
      <w:r w:rsidR="00390EE5" w:rsidRPr="00A63A36">
        <w:rPr>
          <w:i/>
          <w:color w:val="000000" w:themeColor="text1"/>
        </w:rPr>
        <w:t xml:space="preserve">  </w:t>
      </w:r>
      <w:r w:rsidRPr="004C0F09">
        <w:rPr>
          <w:i/>
          <w:color w:val="000000" w:themeColor="text1"/>
        </w:rPr>
        <w:t xml:space="preserve">  /  </w:t>
      </w:r>
      <w:r w:rsidR="008E49D0">
        <w:rPr>
          <w:i/>
          <w:color w:val="000000" w:themeColor="text1"/>
        </w:rPr>
        <w:t xml:space="preserve"> </w:t>
      </w:r>
      <w:r w:rsidRPr="004C0F09">
        <w:rPr>
          <w:i/>
          <w:color w:val="000000" w:themeColor="text1"/>
        </w:rPr>
        <w:t xml:space="preserve">   /202</w:t>
      </w:r>
      <w:r w:rsidR="00F017E1">
        <w:rPr>
          <w:i/>
          <w:color w:val="000000" w:themeColor="text1"/>
        </w:rPr>
        <w:t>5</w:t>
      </w:r>
    </w:p>
    <w:p w14:paraId="02F7E4EF" w14:textId="77777777" w:rsidR="003D57C3" w:rsidRPr="004C0F09" w:rsidRDefault="00243F28" w:rsidP="00850256">
      <w:pPr>
        <w:pBdr>
          <w:top w:val="nil"/>
          <w:left w:val="nil"/>
          <w:bottom w:val="nil"/>
          <w:right w:val="nil"/>
          <w:between w:val="nil"/>
        </w:pBdr>
        <w:ind w:left="360"/>
        <w:jc w:val="center"/>
        <w:rPr>
          <w:i/>
          <w:color w:val="000000" w:themeColor="text1"/>
        </w:rPr>
      </w:pPr>
      <w:r w:rsidRPr="004C0F09">
        <w:rPr>
          <w:i/>
          <w:color w:val="000000" w:themeColor="text1"/>
        </w:rPr>
        <w:t>của Ủy ban nhân dân thành phố Đà Nẵng)</w:t>
      </w:r>
    </w:p>
    <w:p w14:paraId="7B164B8F" w14:textId="77777777" w:rsidR="003D57C3" w:rsidRPr="008E49D0" w:rsidRDefault="003C02B9" w:rsidP="003161F4">
      <w:pPr>
        <w:pBdr>
          <w:top w:val="nil"/>
          <w:left w:val="nil"/>
          <w:bottom w:val="nil"/>
          <w:right w:val="nil"/>
          <w:between w:val="nil"/>
        </w:pBdr>
        <w:spacing w:after="120"/>
        <w:ind w:left="360"/>
        <w:jc w:val="center"/>
        <w:rPr>
          <w:b/>
          <w:color w:val="000000" w:themeColor="text1"/>
        </w:rPr>
      </w:pPr>
      <w:r>
        <w:rPr>
          <w:b/>
          <w:noProof/>
          <w:color w:val="000000" w:themeColor="text1"/>
          <w:lang w:val="en-US" w:eastAsia="ja-JP"/>
        </w:rPr>
        <mc:AlternateContent>
          <mc:Choice Requires="wps">
            <w:drawing>
              <wp:anchor distT="0" distB="0" distL="114300" distR="114300" simplePos="0" relativeHeight="251664384" behindDoc="0" locked="0" layoutInCell="1" allowOverlap="1" wp14:anchorId="2C930C12" wp14:editId="2042DE0A">
                <wp:simplePos x="0" y="0"/>
                <wp:positionH relativeFrom="column">
                  <wp:posOffset>2119630</wp:posOffset>
                </wp:positionH>
                <wp:positionV relativeFrom="paragraph">
                  <wp:posOffset>35722</wp:posOffset>
                </wp:positionV>
                <wp:extent cx="1775637" cy="0"/>
                <wp:effectExtent l="0" t="0" r="15240" b="19050"/>
                <wp:wrapNone/>
                <wp:docPr id="3" name="Straight Connector 3"/>
                <wp:cNvGraphicFramePr/>
                <a:graphic xmlns:a="http://schemas.openxmlformats.org/drawingml/2006/main">
                  <a:graphicData uri="http://schemas.microsoft.com/office/word/2010/wordprocessingShape">
                    <wps:wsp>
                      <wps:cNvCnPr/>
                      <wps:spPr>
                        <a:xfrm>
                          <a:off x="0" y="0"/>
                          <a:ext cx="177563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oel="http://schemas.microsoft.com/office/2019/extlst">
            <w:pict>
              <v:line w14:anchorId="268F1D18"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66.9pt,2.8pt" to="306.7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" strokecolor="black [3213]" strokeweight="1pt">
                <v:stroke joinstyle="miter"/>
              </v:line>
            </w:pict>
          </mc:Fallback>
        </mc:AlternateContent>
      </w:r>
    </w:p>
    <w:p w14:paraId="17DFFD85" w14:textId="77777777" w:rsidR="00E75389" w:rsidRDefault="00E75389" w:rsidP="003161F4">
      <w:pPr>
        <w:widowControl w:val="0"/>
        <w:pBdr>
          <w:top w:val="nil"/>
          <w:left w:val="nil"/>
          <w:bottom w:val="nil"/>
          <w:right w:val="nil"/>
          <w:between w:val="nil"/>
        </w:pBdr>
        <w:spacing w:before="240"/>
        <w:ind w:firstLine="567"/>
        <w:rPr>
          <w:b/>
          <w:color w:val="000000" w:themeColor="text1"/>
        </w:rPr>
      </w:pPr>
    </w:p>
    <w:p w14:paraId="215DA9A2" w14:textId="6A0689C3" w:rsidR="003D57C3" w:rsidRPr="004C0F09" w:rsidRDefault="00243F28" w:rsidP="003161F4">
      <w:pPr>
        <w:widowControl w:val="0"/>
        <w:pBdr>
          <w:top w:val="nil"/>
          <w:left w:val="nil"/>
          <w:bottom w:val="nil"/>
          <w:right w:val="nil"/>
          <w:between w:val="nil"/>
        </w:pBdr>
        <w:spacing w:before="240"/>
        <w:ind w:firstLine="567"/>
        <w:rPr>
          <w:b/>
          <w:color w:val="000000" w:themeColor="text1"/>
        </w:rPr>
      </w:pPr>
      <w:r w:rsidRPr="004C0F09">
        <w:rPr>
          <w:b/>
          <w:color w:val="000000" w:themeColor="text1"/>
        </w:rPr>
        <w:t>I. CĂN CỨ PHÁP LÝ</w:t>
      </w:r>
    </w:p>
    <w:p w14:paraId="20021DAE" w14:textId="1BC1381B" w:rsidR="00143A2D" w:rsidRPr="00D86F22" w:rsidRDefault="00D86F22" w:rsidP="00694E38">
      <w:pPr>
        <w:pStyle w:val="NormalWeb"/>
        <w:widowControl w:val="0"/>
        <w:spacing w:before="120" w:beforeAutospacing="0" w:after="120" w:afterAutospacing="0"/>
        <w:ind w:firstLine="567"/>
        <w:jc w:val="both"/>
        <w:rPr>
          <w:sz w:val="28"/>
          <w:szCs w:val="28"/>
          <w:lang w:val="vi-VN"/>
        </w:rPr>
      </w:pPr>
      <w:r w:rsidRPr="00D86F22">
        <w:rPr>
          <w:sz w:val="28"/>
          <w:szCs w:val="28"/>
          <w:lang w:val="vi-VN"/>
        </w:rPr>
        <w:t xml:space="preserve">- </w:t>
      </w:r>
      <w:r w:rsidR="00143A2D" w:rsidRPr="00D86F22">
        <w:rPr>
          <w:sz w:val="28"/>
          <w:szCs w:val="28"/>
          <w:lang w:val="vi-VN"/>
        </w:rPr>
        <w:t>Nghị quyết số 60-NQ/TW ngày 12 tháng 4 năm 2025 Hội nghị lần thứ 11 Ban chấp hành Trung ương Đảng khóa XIII;</w:t>
      </w:r>
    </w:p>
    <w:p w14:paraId="0C395D41" w14:textId="75274618" w:rsidR="00143A2D" w:rsidRPr="00D86F22" w:rsidRDefault="00D86F22" w:rsidP="00143A2D">
      <w:pPr>
        <w:spacing w:before="120" w:after="120"/>
        <w:ind w:firstLine="567"/>
        <w:rPr>
          <w:spacing w:val="-2"/>
        </w:rPr>
      </w:pPr>
      <w:r w:rsidRPr="00D86F22">
        <w:rPr>
          <w:spacing w:val="-2"/>
        </w:rPr>
        <w:t xml:space="preserve">- </w:t>
      </w:r>
      <w:r w:rsidR="00143A2D" w:rsidRPr="00D86F22">
        <w:rPr>
          <w:spacing w:val="-2"/>
        </w:rPr>
        <w:t xml:space="preserve">Luật Tổ chức chính quyền địa phương </w:t>
      </w:r>
      <w:r w:rsidR="00143A2D" w:rsidRPr="00D86F22">
        <w:rPr>
          <w:spacing w:val="-2"/>
          <w:szCs w:val="26"/>
        </w:rPr>
        <w:t>ngày 19 tháng 02 năm 2025</w:t>
      </w:r>
      <w:r w:rsidR="00143A2D" w:rsidRPr="00D86F22">
        <w:rPr>
          <w:spacing w:val="-2"/>
        </w:rPr>
        <w:t>;</w:t>
      </w:r>
    </w:p>
    <w:p w14:paraId="0FBB2D34" w14:textId="28F27665" w:rsidR="00143A2D" w:rsidRPr="00D86F22" w:rsidRDefault="00D86F22" w:rsidP="00143A2D">
      <w:pPr>
        <w:spacing w:before="120" w:after="120"/>
        <w:ind w:firstLine="567"/>
        <w:rPr>
          <w:sz w:val="18"/>
        </w:rPr>
      </w:pPr>
      <w:r w:rsidRPr="00D86F22">
        <w:t>-</w:t>
      </w:r>
      <w:r w:rsidR="00143A2D" w:rsidRPr="00D86F22">
        <w:t xml:space="preserve"> Luật Ban hành văn bản quy phạm pháp luật ngày 19 tháng 02 năm 2025;</w:t>
      </w:r>
    </w:p>
    <w:p w14:paraId="1AC1EC46" w14:textId="4BD1B4DB" w:rsidR="00143A2D" w:rsidRPr="00D86F22" w:rsidRDefault="00D86F22" w:rsidP="00143A2D">
      <w:pPr>
        <w:pStyle w:val="NormalWeb"/>
        <w:widowControl w:val="0"/>
        <w:spacing w:before="120" w:beforeAutospacing="0" w:after="120" w:afterAutospacing="0"/>
        <w:ind w:firstLine="567"/>
        <w:jc w:val="both"/>
        <w:rPr>
          <w:sz w:val="28"/>
          <w:szCs w:val="28"/>
          <w:lang w:val="vi-VN"/>
        </w:rPr>
      </w:pPr>
      <w:r w:rsidRPr="00D86F22">
        <w:rPr>
          <w:sz w:val="28"/>
          <w:szCs w:val="28"/>
          <w:lang w:val="vi-VN"/>
        </w:rPr>
        <w:t>-</w:t>
      </w:r>
      <w:r w:rsidR="00143A2D" w:rsidRPr="00D86F22">
        <w:rPr>
          <w:sz w:val="28"/>
          <w:szCs w:val="28"/>
          <w:lang w:val="vi-VN"/>
        </w:rPr>
        <w:t xml:space="preserve"> Luật Phí và lệ phí ngày 25 tháng 11 năm 2015;</w:t>
      </w:r>
    </w:p>
    <w:p w14:paraId="1C91FEBE" w14:textId="68298784" w:rsidR="00143A2D" w:rsidRPr="00D86F22" w:rsidRDefault="00D86F22" w:rsidP="00143A2D">
      <w:pPr>
        <w:pStyle w:val="NormalWeb"/>
        <w:widowControl w:val="0"/>
        <w:spacing w:before="120" w:beforeAutospacing="0" w:after="120" w:afterAutospacing="0"/>
        <w:ind w:firstLine="567"/>
        <w:jc w:val="both"/>
        <w:rPr>
          <w:sz w:val="28"/>
          <w:szCs w:val="28"/>
          <w:lang w:val="vi-VN"/>
        </w:rPr>
      </w:pPr>
      <w:r w:rsidRPr="00D86F22">
        <w:rPr>
          <w:sz w:val="28"/>
          <w:szCs w:val="28"/>
          <w:lang w:val="vi-VN"/>
        </w:rPr>
        <w:t>-</w:t>
      </w:r>
      <w:r w:rsidR="00143A2D" w:rsidRPr="00D86F22">
        <w:rPr>
          <w:sz w:val="28"/>
          <w:szCs w:val="28"/>
          <w:lang w:val="vi-VN"/>
        </w:rPr>
        <w:t xml:space="preserve"> Luật Bảo vệ môi trường ngày 17 tháng 11 năm 2020;</w:t>
      </w:r>
    </w:p>
    <w:p w14:paraId="27E6732D" w14:textId="7CFA4252" w:rsidR="00143A2D" w:rsidRPr="00D86F22" w:rsidRDefault="00D86F22" w:rsidP="00143A2D">
      <w:pPr>
        <w:pStyle w:val="NormalWeb"/>
        <w:widowControl w:val="0"/>
        <w:spacing w:before="120" w:beforeAutospacing="0" w:after="120" w:afterAutospacing="0"/>
        <w:ind w:firstLine="567"/>
        <w:jc w:val="both"/>
        <w:rPr>
          <w:sz w:val="28"/>
          <w:szCs w:val="28"/>
          <w:lang w:val="vi-VN"/>
        </w:rPr>
      </w:pPr>
      <w:r w:rsidRPr="00D86F22">
        <w:rPr>
          <w:sz w:val="28"/>
          <w:szCs w:val="28"/>
          <w:lang w:val="vi-VN"/>
        </w:rPr>
        <w:t>-</w:t>
      </w:r>
      <w:r w:rsidR="00143A2D" w:rsidRPr="00D86F22">
        <w:rPr>
          <w:sz w:val="28"/>
          <w:szCs w:val="28"/>
          <w:lang w:val="vi-VN"/>
        </w:rPr>
        <w:t xml:space="preserve"> Nghị quyết số 136/2024/QH15 ngày 26 tháng 6 năm 2024 của Quốc hội về tổ chức chính quyền đô thị và thí điểm một số cơ chế, chính sách đặc thù phát triển thành phố Đà Nẵng;</w:t>
      </w:r>
    </w:p>
    <w:p w14:paraId="4EDD4902" w14:textId="56BDAA04" w:rsidR="00143A2D" w:rsidRPr="00D86F22" w:rsidRDefault="00D86F22" w:rsidP="00143A2D">
      <w:pPr>
        <w:pStyle w:val="NormalWeb"/>
        <w:widowControl w:val="0"/>
        <w:spacing w:before="120" w:beforeAutospacing="0" w:after="120" w:afterAutospacing="0"/>
        <w:ind w:firstLine="567"/>
        <w:jc w:val="both"/>
        <w:rPr>
          <w:sz w:val="28"/>
          <w:szCs w:val="28"/>
          <w:lang w:val="vi-VN"/>
        </w:rPr>
      </w:pPr>
      <w:r w:rsidRPr="00D86F22">
        <w:rPr>
          <w:sz w:val="28"/>
          <w:szCs w:val="28"/>
          <w:lang w:val="vi-VN"/>
        </w:rPr>
        <w:t>-</w:t>
      </w:r>
      <w:r w:rsidR="00143A2D" w:rsidRPr="00D86F22">
        <w:rPr>
          <w:sz w:val="28"/>
          <w:szCs w:val="28"/>
          <w:lang w:val="vi-VN"/>
        </w:rPr>
        <w:t xml:space="preserve"> </w:t>
      </w:r>
      <w:bookmarkStart w:id="0" w:name="_Hlk199841114"/>
      <w:r w:rsidR="00143A2D" w:rsidRPr="00D86F22">
        <w:rPr>
          <w:sz w:val="28"/>
          <w:szCs w:val="28"/>
          <w:lang w:val="vi-VN"/>
        </w:rPr>
        <w:t>Nghị quyết số 76/2025/UBTVQH15</w:t>
      </w:r>
      <w:bookmarkEnd w:id="0"/>
      <w:r w:rsidR="00143A2D" w:rsidRPr="00D86F22">
        <w:rPr>
          <w:sz w:val="28"/>
          <w:szCs w:val="28"/>
          <w:lang w:val="vi-VN"/>
        </w:rPr>
        <w:t xml:space="preserve"> </w:t>
      </w:r>
      <w:bookmarkStart w:id="1" w:name="_Hlk199841097"/>
      <w:r w:rsidR="00143A2D" w:rsidRPr="00D86F22">
        <w:rPr>
          <w:sz w:val="28"/>
          <w:szCs w:val="28"/>
          <w:lang w:val="vi-VN"/>
        </w:rPr>
        <w:t xml:space="preserve">ngày 14 tháng 4 năm 2025 </w:t>
      </w:r>
      <w:bookmarkEnd w:id="1"/>
      <w:r w:rsidR="00143A2D" w:rsidRPr="00D86F22">
        <w:rPr>
          <w:sz w:val="28"/>
          <w:szCs w:val="28"/>
          <w:lang w:val="vi-VN"/>
        </w:rPr>
        <w:t xml:space="preserve">của Ủy ban thường vụ Quốc hội </w:t>
      </w:r>
      <w:bookmarkStart w:id="2" w:name="_Hlk199841119"/>
      <w:r w:rsidR="00143A2D" w:rsidRPr="00D86F22">
        <w:rPr>
          <w:sz w:val="28"/>
          <w:szCs w:val="28"/>
          <w:lang w:val="vi-VN"/>
        </w:rPr>
        <w:t>về việc sắp xếp đơn vị hành chính năm 2025</w:t>
      </w:r>
      <w:bookmarkEnd w:id="2"/>
      <w:r w:rsidR="00143A2D" w:rsidRPr="00D86F22">
        <w:rPr>
          <w:sz w:val="28"/>
          <w:szCs w:val="28"/>
          <w:lang w:val="vi-VN"/>
        </w:rPr>
        <w:t>;</w:t>
      </w:r>
    </w:p>
    <w:p w14:paraId="1A46AC64" w14:textId="698CC0F8" w:rsidR="00143A2D" w:rsidRPr="00D86F22" w:rsidRDefault="00D86F22" w:rsidP="00143A2D">
      <w:pPr>
        <w:pStyle w:val="NormalWeb"/>
        <w:widowControl w:val="0"/>
        <w:spacing w:before="120" w:beforeAutospacing="0" w:after="120" w:afterAutospacing="0"/>
        <w:ind w:firstLine="567"/>
        <w:jc w:val="both"/>
        <w:rPr>
          <w:sz w:val="28"/>
          <w:szCs w:val="28"/>
          <w:lang w:val="vi-VN"/>
        </w:rPr>
      </w:pPr>
      <w:r w:rsidRPr="00D86F22">
        <w:rPr>
          <w:sz w:val="28"/>
          <w:szCs w:val="28"/>
          <w:lang w:val="vi-VN"/>
        </w:rPr>
        <w:t>-</w:t>
      </w:r>
      <w:r w:rsidR="00143A2D" w:rsidRPr="00D86F22">
        <w:rPr>
          <w:sz w:val="28"/>
          <w:szCs w:val="28"/>
          <w:lang w:val="vi-VN"/>
        </w:rPr>
        <w:t xml:space="preserve"> Nghị định số 120/2016/NĐ-CP ngày 23 tháng 8 năm 2016 của Chính phủ quy định chi tiết và hướng dẫn thi hành một số điều của Luật Phí và lệ phí và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14:paraId="245049ED" w14:textId="77C797AB" w:rsidR="00143A2D" w:rsidRPr="00D86F22" w:rsidRDefault="00D86F22" w:rsidP="00143A2D">
      <w:pPr>
        <w:pStyle w:val="NormalWeb"/>
        <w:widowControl w:val="0"/>
        <w:spacing w:before="120" w:beforeAutospacing="0" w:after="120" w:afterAutospacing="0"/>
        <w:ind w:firstLine="567"/>
        <w:jc w:val="both"/>
        <w:rPr>
          <w:sz w:val="28"/>
          <w:szCs w:val="28"/>
          <w:lang w:val="vi-VN"/>
        </w:rPr>
      </w:pPr>
      <w:r w:rsidRPr="00D86F22">
        <w:rPr>
          <w:sz w:val="28"/>
          <w:szCs w:val="28"/>
          <w:lang w:val="vi-VN"/>
        </w:rPr>
        <w:t>-</w:t>
      </w:r>
      <w:r w:rsidR="00143A2D" w:rsidRPr="00D86F22">
        <w:rPr>
          <w:sz w:val="28"/>
          <w:szCs w:val="28"/>
          <w:lang w:val="vi-VN"/>
        </w:rPr>
        <w:t xml:space="preserve"> Nghị định số 08/2022/NĐ-CP ngày 10 tháng 01 năm 2022 của Chính phủ quy định chi tiết một số điều của Luật Bảo vệ môi trường và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14:paraId="34928E71" w14:textId="3F1B3EA0" w:rsidR="00FA0F08" w:rsidRPr="00D86F22" w:rsidRDefault="00D86F22" w:rsidP="00143A2D">
      <w:pPr>
        <w:pStyle w:val="NormalWeb"/>
        <w:widowControl w:val="0"/>
        <w:spacing w:before="120" w:beforeAutospacing="0" w:after="120" w:afterAutospacing="0"/>
        <w:ind w:firstLine="567"/>
        <w:jc w:val="both"/>
        <w:rPr>
          <w:sz w:val="28"/>
          <w:szCs w:val="28"/>
          <w:lang w:val="vi-VN"/>
        </w:rPr>
      </w:pPr>
      <w:r w:rsidRPr="00D86F22">
        <w:rPr>
          <w:sz w:val="28"/>
          <w:szCs w:val="28"/>
          <w:lang w:val="vi-VN"/>
        </w:rPr>
        <w:t>-</w:t>
      </w:r>
      <w:r w:rsidR="00FA0F08" w:rsidRPr="00D86F22">
        <w:rPr>
          <w:sz w:val="28"/>
          <w:szCs w:val="28"/>
          <w:lang w:val="vi-VN"/>
        </w:rPr>
        <w:t xml:space="preserve"> Nghị định số      /2025/NĐ-CP ngày     tháng    năm 2025 của Chính phủ Quy định phân định thẩm quyền của chính quyền địa phương hai cấp trong lĩnh vực quản lý nhà nước của Bộ Nông nghiệp và Môi trường </w:t>
      </w:r>
      <w:r w:rsidR="00FA0F08" w:rsidRPr="00D86F22">
        <w:rPr>
          <w:color w:val="FF0000"/>
          <w:sz w:val="28"/>
          <w:szCs w:val="28"/>
          <w:lang w:val="vi-VN"/>
        </w:rPr>
        <w:t>(dự thảo đang lấy ý kiến)</w:t>
      </w:r>
      <w:r w:rsidR="00FA0F08" w:rsidRPr="00D86F22">
        <w:rPr>
          <w:sz w:val="28"/>
          <w:szCs w:val="28"/>
          <w:lang w:val="vi-VN"/>
        </w:rPr>
        <w:t>;</w:t>
      </w:r>
    </w:p>
    <w:p w14:paraId="3730DB85" w14:textId="4CB9099C" w:rsidR="00143A2D" w:rsidRPr="00D86F22" w:rsidRDefault="00D86F22" w:rsidP="00143A2D">
      <w:pPr>
        <w:pStyle w:val="NormalWeb"/>
        <w:widowControl w:val="0"/>
        <w:spacing w:before="120" w:beforeAutospacing="0" w:after="120" w:afterAutospacing="0"/>
        <w:ind w:firstLine="567"/>
        <w:jc w:val="both"/>
        <w:rPr>
          <w:sz w:val="28"/>
          <w:szCs w:val="28"/>
          <w:lang w:val="vi-VN"/>
        </w:rPr>
      </w:pPr>
      <w:r w:rsidRPr="00D86F22">
        <w:rPr>
          <w:sz w:val="28"/>
          <w:szCs w:val="28"/>
          <w:lang w:val="vi-VN"/>
        </w:rPr>
        <w:lastRenderedPageBreak/>
        <w:t xml:space="preserve">- </w:t>
      </w:r>
      <w:r w:rsidR="00143A2D" w:rsidRPr="00D86F22">
        <w:rPr>
          <w:sz w:val="28"/>
          <w:szCs w:val="28"/>
          <w:lang w:val="vi-VN"/>
        </w:rPr>
        <w:t>Thông tư số 85/2019/TT-BTC ngày 29 tháng 11 năm 2019 của Bộ trưởng Bộ Tài chính hướng dẫn về phí và lệ phí thuộc thẩm quyền quyết định của Hội đồng nhân dân tỉnh, thành phố trực thuộc Trung ương và Thông tư số 106/2021/TT-BTC ngày 26 tháng 11 năm 2021 của Bộ trưởng Bộ Tài chính sửa đổi, bổ sung một số điều của Thông tư số 85/2019/TT-BTC ngày 29 tháng 11 năm 2019 hướng dẫn về phí và lệ phí thuộc thẩm quyền quyết định của Hội đồng nhân dân tỉnh, thành phố trực thuộc Trung ương;</w:t>
      </w:r>
    </w:p>
    <w:p w14:paraId="7BCF14D1" w14:textId="682312A3" w:rsidR="00070968" w:rsidRPr="00D86F22" w:rsidRDefault="00D86F22" w:rsidP="00143A2D">
      <w:pPr>
        <w:widowControl w:val="0"/>
        <w:spacing w:before="120"/>
        <w:ind w:firstLine="567"/>
        <w:rPr>
          <w:color w:val="000000" w:themeColor="text1"/>
        </w:rPr>
      </w:pPr>
      <w:r w:rsidRPr="00D86F22">
        <w:t>-</w:t>
      </w:r>
      <w:r w:rsidR="00143A2D" w:rsidRPr="00D86F22">
        <w:t xml:space="preserve"> Thông tư số 02/2022/TT-BTNMT ngày 10 tháng 01 năm 2022 của Bộ trưởng Bộ Tài nguyên và Môi trường quy định chi tiết thi hành một số điều của Luật Bảo vệ môi trường và Thông tư số 07/2025/TT-BTNMT ngày 28 tháng 02 năm 2025 của Bộ trưởng Bộ Tài nguyên và Môi trường sửa đổi, bổ sung một số điều của Thông tư số 02/2022/TT-BTNMT ngày 10 tháng 01 năm 2022 của Bộ trưởng Bộ Tài nguyên và Môi trường quy định chi tiết thi hành một số điều của Luật Bảo vệ môi trường</w:t>
      </w:r>
      <w:r w:rsidR="00561AA0" w:rsidRPr="00D86F22">
        <w:t>.</w:t>
      </w:r>
    </w:p>
    <w:p w14:paraId="525E9621" w14:textId="67D683B9" w:rsidR="00180817" w:rsidRPr="00070968" w:rsidRDefault="00C60A50" w:rsidP="00312AB6">
      <w:pPr>
        <w:widowControl w:val="0"/>
        <w:spacing w:before="120" w:after="120"/>
        <w:ind w:firstLine="567"/>
        <w:rPr>
          <w:b/>
          <w:color w:val="000000" w:themeColor="text1"/>
        </w:rPr>
      </w:pPr>
      <w:bookmarkStart w:id="3" w:name="_heading=h.gjdgxs" w:colFirst="0" w:colLast="0"/>
      <w:bookmarkEnd w:id="3"/>
      <w:r>
        <w:rPr>
          <w:b/>
          <w:color w:val="000000" w:themeColor="text1"/>
        </w:rPr>
        <w:t>II.</w:t>
      </w:r>
      <w:r w:rsidRPr="00C60A50">
        <w:rPr>
          <w:b/>
          <w:color w:val="000000" w:themeColor="text1"/>
        </w:rPr>
        <w:t xml:space="preserve"> </w:t>
      </w:r>
      <w:r w:rsidR="00180817" w:rsidRPr="00070968">
        <w:rPr>
          <w:b/>
          <w:color w:val="000000" w:themeColor="text1"/>
        </w:rPr>
        <w:t>ĐÁNH GIÁ TÌNH HÌNH THỰC HIỆN</w:t>
      </w:r>
    </w:p>
    <w:p w14:paraId="73C02C16" w14:textId="70AB2321" w:rsidR="00F405D3" w:rsidRPr="00F405D3" w:rsidRDefault="00F405D3" w:rsidP="00FA39D6">
      <w:pPr>
        <w:widowControl w:val="0"/>
        <w:spacing w:before="120" w:after="120"/>
        <w:ind w:firstLine="567"/>
        <w:rPr>
          <w:b/>
          <w:bCs/>
          <w:noProof/>
          <w:color w:val="000000" w:themeColor="text1"/>
        </w:rPr>
      </w:pPr>
      <w:r w:rsidRPr="00F405D3">
        <w:rPr>
          <w:b/>
          <w:bCs/>
          <w:noProof/>
          <w:color w:val="000000" w:themeColor="text1"/>
        </w:rPr>
        <w:t>1. Đà Nẵng</w:t>
      </w:r>
    </w:p>
    <w:p w14:paraId="11B241BD" w14:textId="3E5A56AC" w:rsidR="00FA39D6" w:rsidRPr="00665F6B" w:rsidRDefault="00FA39D6" w:rsidP="00FA39D6">
      <w:pPr>
        <w:widowControl w:val="0"/>
        <w:spacing w:before="120" w:after="120"/>
        <w:ind w:firstLine="567"/>
        <w:rPr>
          <w:noProof/>
          <w:color w:val="000000" w:themeColor="text1"/>
        </w:rPr>
      </w:pPr>
      <w:r w:rsidRPr="00665F6B">
        <w:rPr>
          <w:noProof/>
          <w:color w:val="000000" w:themeColor="text1"/>
        </w:rPr>
        <w:t xml:space="preserve">Kể từ khi Nghị quyết số </w:t>
      </w:r>
      <w:r w:rsidR="00E23D91">
        <w:t xml:space="preserve">59/2021/NQ-HĐND ngày 17/12/2021 của HĐND thành phố Đà Nẵng quy định mức thu, đối tượng thu, nộp, chế độ quản lý, sử dụng phí thẩm định </w:t>
      </w:r>
      <w:r w:rsidR="00E23D91">
        <w:rPr>
          <w:noProof/>
        </w:rPr>
        <w:t>cấp, cấp lại, điều chỉnh giấy phép môi trường</w:t>
      </w:r>
      <w:r w:rsidR="00E23D91">
        <w:t xml:space="preserve"> trên địa bàn thành phố Đà Nẵng</w:t>
      </w:r>
      <w:r w:rsidRPr="00665F6B">
        <w:rPr>
          <w:noProof/>
          <w:color w:val="000000" w:themeColor="text1"/>
        </w:rPr>
        <w:t xml:space="preserve"> </w:t>
      </w:r>
      <w:r w:rsidR="00DF3015">
        <w:rPr>
          <w:noProof/>
          <w:color w:val="000000" w:themeColor="text1"/>
        </w:rPr>
        <w:t>có hiệu lực</w:t>
      </w:r>
      <w:r w:rsidR="00DF3015" w:rsidRPr="00665F6B">
        <w:rPr>
          <w:noProof/>
          <w:color w:val="000000" w:themeColor="text1"/>
        </w:rPr>
        <w:t xml:space="preserve"> </w:t>
      </w:r>
      <w:r w:rsidR="00DF3015">
        <w:rPr>
          <w:noProof/>
          <w:color w:val="000000" w:themeColor="text1"/>
        </w:rPr>
        <w:t>thi</w:t>
      </w:r>
      <w:r w:rsidR="00DF3015" w:rsidRPr="00665F6B">
        <w:rPr>
          <w:noProof/>
          <w:color w:val="000000" w:themeColor="text1"/>
        </w:rPr>
        <w:t xml:space="preserve"> hành</w:t>
      </w:r>
      <w:r w:rsidR="00DF3015">
        <w:rPr>
          <w:noProof/>
          <w:color w:val="000000" w:themeColor="text1"/>
        </w:rPr>
        <w:t xml:space="preserve"> (từ ngày 01/01/202</w:t>
      </w:r>
      <w:r w:rsidR="008F7245">
        <w:rPr>
          <w:noProof/>
          <w:color w:val="000000" w:themeColor="text1"/>
        </w:rPr>
        <w:t>2</w:t>
      </w:r>
      <w:r w:rsidR="00DF3015">
        <w:rPr>
          <w:noProof/>
          <w:color w:val="000000" w:themeColor="text1"/>
        </w:rPr>
        <w:t>)</w:t>
      </w:r>
      <w:r w:rsidRPr="00665F6B">
        <w:rPr>
          <w:noProof/>
          <w:color w:val="000000" w:themeColor="text1"/>
        </w:rPr>
        <w:t xml:space="preserve">, Chi cục Bảo vệ môi trường đã thực hiện thu phí thẩm định </w:t>
      </w:r>
      <w:r w:rsidR="00732A33">
        <w:rPr>
          <w:noProof/>
          <w:color w:val="000000" w:themeColor="text1"/>
        </w:rPr>
        <w:t>cấp, cấp lại, điều chỉnh giấy phép môi trường</w:t>
      </w:r>
      <w:r w:rsidR="00025D2C">
        <w:rPr>
          <w:noProof/>
          <w:color w:val="000000" w:themeColor="text1"/>
        </w:rPr>
        <w:t xml:space="preserve"> (</w:t>
      </w:r>
      <w:r w:rsidR="008F7245">
        <w:rPr>
          <w:noProof/>
          <w:color w:val="000000" w:themeColor="text1"/>
        </w:rPr>
        <w:t>GPMT</w:t>
      </w:r>
      <w:r w:rsidR="00025D2C">
        <w:rPr>
          <w:noProof/>
          <w:color w:val="000000" w:themeColor="text1"/>
        </w:rPr>
        <w:t>)</w:t>
      </w:r>
      <w:r w:rsidRPr="00665F6B">
        <w:rPr>
          <w:noProof/>
          <w:color w:val="000000" w:themeColor="text1"/>
        </w:rPr>
        <w:t xml:space="preserve"> đối </w:t>
      </w:r>
      <w:r w:rsidRPr="006D07AA">
        <w:rPr>
          <w:noProof/>
          <w:color w:val="000000" w:themeColor="text1"/>
        </w:rPr>
        <w:t xml:space="preserve">với </w:t>
      </w:r>
      <w:r w:rsidR="006D07AA" w:rsidRPr="006D07AA">
        <w:rPr>
          <w:b/>
          <w:noProof/>
          <w:color w:val="000000" w:themeColor="text1"/>
        </w:rPr>
        <w:t>29</w:t>
      </w:r>
      <w:r w:rsidRPr="006D07AA">
        <w:rPr>
          <w:b/>
          <w:noProof/>
          <w:color w:val="000000" w:themeColor="text1"/>
        </w:rPr>
        <w:t xml:space="preserve"> hồ sơ</w:t>
      </w:r>
      <w:r w:rsidR="006D07AA">
        <w:rPr>
          <w:bCs/>
          <w:noProof/>
          <w:color w:val="000000" w:themeColor="text1"/>
        </w:rPr>
        <w:t>,</w:t>
      </w:r>
      <w:r w:rsidRPr="006D07AA">
        <w:rPr>
          <w:noProof/>
          <w:color w:val="000000" w:themeColor="text1"/>
        </w:rPr>
        <w:t xml:space="preserve"> với</w:t>
      </w:r>
      <w:r w:rsidRPr="00665F6B">
        <w:rPr>
          <w:noProof/>
          <w:color w:val="000000" w:themeColor="text1"/>
        </w:rPr>
        <w:t xml:space="preserve"> tổng số phí thu được là </w:t>
      </w:r>
      <w:r w:rsidR="00344CA5" w:rsidRPr="00344CA5">
        <w:rPr>
          <w:b/>
          <w:noProof/>
          <w:color w:val="000000" w:themeColor="text1"/>
        </w:rPr>
        <w:t>454.000.000</w:t>
      </w:r>
      <w:r w:rsidRPr="00344CA5">
        <w:rPr>
          <w:b/>
          <w:noProof/>
          <w:color w:val="000000" w:themeColor="text1"/>
        </w:rPr>
        <w:t xml:space="preserve"> đồng</w:t>
      </w:r>
      <w:r w:rsidRPr="00344CA5">
        <w:rPr>
          <w:noProof/>
          <w:color w:val="000000" w:themeColor="text1"/>
        </w:rPr>
        <w:t>,</w:t>
      </w:r>
      <w:r w:rsidRPr="00665F6B">
        <w:rPr>
          <w:noProof/>
          <w:color w:val="000000" w:themeColor="text1"/>
        </w:rPr>
        <w:t xml:space="preserve"> trong đó số tiền nộp ngân sách nhà nước (</w:t>
      </w:r>
      <w:r w:rsidR="00F41136">
        <w:rPr>
          <w:noProof/>
          <w:color w:val="000000" w:themeColor="text1"/>
        </w:rPr>
        <w:t>1</w:t>
      </w:r>
      <w:r w:rsidRPr="00665F6B">
        <w:rPr>
          <w:noProof/>
          <w:color w:val="000000" w:themeColor="text1"/>
        </w:rPr>
        <w:t xml:space="preserve">0%) </w:t>
      </w:r>
      <w:r w:rsidRPr="00D93305">
        <w:rPr>
          <w:noProof/>
          <w:color w:val="000000" w:themeColor="text1"/>
        </w:rPr>
        <w:t xml:space="preserve">là: </w:t>
      </w:r>
      <w:r w:rsidR="00D93305" w:rsidRPr="00D93305">
        <w:rPr>
          <w:noProof/>
          <w:color w:val="000000" w:themeColor="text1"/>
        </w:rPr>
        <w:t>136.200.000</w:t>
      </w:r>
      <w:r w:rsidRPr="00D93305">
        <w:rPr>
          <w:noProof/>
          <w:color w:val="000000" w:themeColor="text1"/>
        </w:rPr>
        <w:t xml:space="preserve"> đồng; đơn vị thu phí được để lại </w:t>
      </w:r>
      <w:r w:rsidR="00F41136">
        <w:rPr>
          <w:noProof/>
          <w:color w:val="000000" w:themeColor="text1"/>
        </w:rPr>
        <w:t>9</w:t>
      </w:r>
      <w:r w:rsidRPr="00D93305">
        <w:rPr>
          <w:noProof/>
          <w:color w:val="000000" w:themeColor="text1"/>
        </w:rPr>
        <w:t>0% số tiền phí thu được là: 3</w:t>
      </w:r>
      <w:r w:rsidR="001C30EA">
        <w:rPr>
          <w:noProof/>
          <w:color w:val="000000" w:themeColor="text1"/>
        </w:rPr>
        <w:t>17.800</w:t>
      </w:r>
      <w:r w:rsidRPr="00D93305">
        <w:rPr>
          <w:noProof/>
          <w:color w:val="000000" w:themeColor="text1"/>
        </w:rPr>
        <w:t>.000 đồng</w:t>
      </w:r>
      <w:r w:rsidR="00F13664" w:rsidRPr="00D93305">
        <w:rPr>
          <w:noProof/>
          <w:color w:val="000000" w:themeColor="text1"/>
        </w:rPr>
        <w:t xml:space="preserve"> để phục vụ công tác thẩm định</w:t>
      </w:r>
      <w:r w:rsidRPr="00D93305">
        <w:rPr>
          <w:noProof/>
          <w:color w:val="000000" w:themeColor="text1"/>
        </w:rPr>
        <w:t>, cụ thể như sau:</w:t>
      </w:r>
    </w:p>
    <w:p w14:paraId="7E90A9A7" w14:textId="77777777" w:rsidR="00FA39D6" w:rsidRPr="00665F6B" w:rsidRDefault="00FA39D6" w:rsidP="00FA39D6">
      <w:pPr>
        <w:widowControl w:val="0"/>
        <w:spacing w:before="120" w:after="120"/>
        <w:ind w:firstLine="567"/>
        <w:jc w:val="right"/>
        <w:rPr>
          <w:noProof/>
          <w:color w:val="000000" w:themeColor="text1"/>
          <w:sz w:val="26"/>
          <w:szCs w:val="26"/>
        </w:rPr>
      </w:pPr>
      <w:r w:rsidRPr="00665F6B">
        <w:rPr>
          <w:i/>
          <w:noProof/>
          <w:color w:val="000000" w:themeColor="text1"/>
          <w:sz w:val="26"/>
          <w:szCs w:val="26"/>
        </w:rPr>
        <w:t>Đơn vị tính: đồng</w:t>
      </w:r>
    </w:p>
    <w:tbl>
      <w:tblPr>
        <w:tblStyle w:val="TableGrid"/>
        <w:tblW w:w="9924" w:type="dxa"/>
        <w:tblInd w:w="-318" w:type="dxa"/>
        <w:tblLayout w:type="fixed"/>
        <w:tblLook w:val="04A0" w:firstRow="1" w:lastRow="0" w:firstColumn="1" w:lastColumn="0" w:noHBand="0" w:noVBand="1"/>
      </w:tblPr>
      <w:tblGrid>
        <w:gridCol w:w="1135"/>
        <w:gridCol w:w="992"/>
        <w:gridCol w:w="1701"/>
        <w:gridCol w:w="1560"/>
        <w:gridCol w:w="1559"/>
        <w:gridCol w:w="1446"/>
        <w:gridCol w:w="1531"/>
      </w:tblGrid>
      <w:tr w:rsidR="004A4A90" w:rsidRPr="000E1567" w14:paraId="555F637E" w14:textId="77777777" w:rsidTr="004A4A90">
        <w:trPr>
          <w:trHeight w:val="661"/>
        </w:trPr>
        <w:tc>
          <w:tcPr>
            <w:tcW w:w="1135" w:type="dxa"/>
            <w:vMerge w:val="restart"/>
            <w:vAlign w:val="center"/>
          </w:tcPr>
          <w:p w14:paraId="0EC95C23" w14:textId="77777777" w:rsidR="004A4A90" w:rsidRPr="000E1567" w:rsidRDefault="004A4A90" w:rsidP="005A32A6">
            <w:pPr>
              <w:widowControl w:val="0"/>
              <w:spacing w:before="120" w:after="120"/>
              <w:jc w:val="center"/>
              <w:rPr>
                <w:b/>
                <w:noProof/>
                <w:color w:val="000000" w:themeColor="text1"/>
                <w:sz w:val="24"/>
                <w:szCs w:val="24"/>
              </w:rPr>
            </w:pPr>
            <w:r w:rsidRPr="000E1567">
              <w:rPr>
                <w:b/>
                <w:noProof/>
                <w:color w:val="000000" w:themeColor="text1"/>
                <w:sz w:val="24"/>
                <w:szCs w:val="24"/>
              </w:rPr>
              <w:t>Năm</w:t>
            </w:r>
          </w:p>
        </w:tc>
        <w:tc>
          <w:tcPr>
            <w:tcW w:w="992" w:type="dxa"/>
            <w:vMerge w:val="restart"/>
            <w:vAlign w:val="center"/>
          </w:tcPr>
          <w:p w14:paraId="5DE076EA" w14:textId="77777777" w:rsidR="004A4A90" w:rsidRPr="000E1567" w:rsidRDefault="004A4A90" w:rsidP="005A32A6">
            <w:pPr>
              <w:widowControl w:val="0"/>
              <w:spacing w:before="120" w:after="120"/>
              <w:jc w:val="center"/>
              <w:rPr>
                <w:b/>
                <w:noProof/>
                <w:color w:val="000000" w:themeColor="text1"/>
                <w:sz w:val="24"/>
                <w:szCs w:val="24"/>
              </w:rPr>
            </w:pPr>
            <w:r w:rsidRPr="000E1567">
              <w:rPr>
                <w:b/>
                <w:noProof/>
                <w:color w:val="000000" w:themeColor="text1"/>
                <w:sz w:val="24"/>
                <w:szCs w:val="24"/>
              </w:rPr>
              <w:t>Số lượt hồ sơ</w:t>
            </w:r>
          </w:p>
        </w:tc>
        <w:tc>
          <w:tcPr>
            <w:tcW w:w="1701" w:type="dxa"/>
            <w:vMerge w:val="restart"/>
            <w:vAlign w:val="center"/>
          </w:tcPr>
          <w:p w14:paraId="073EE4CD" w14:textId="77777777" w:rsidR="004A4A90" w:rsidRPr="000E1567" w:rsidRDefault="004A4A90" w:rsidP="005A32A6">
            <w:pPr>
              <w:widowControl w:val="0"/>
              <w:spacing w:before="120" w:after="120"/>
              <w:jc w:val="center"/>
              <w:rPr>
                <w:b/>
                <w:noProof/>
                <w:color w:val="000000" w:themeColor="text1"/>
                <w:sz w:val="24"/>
                <w:szCs w:val="24"/>
              </w:rPr>
            </w:pPr>
            <w:r w:rsidRPr="000E1567">
              <w:rPr>
                <w:b/>
                <w:noProof/>
                <w:color w:val="000000" w:themeColor="text1"/>
                <w:sz w:val="24"/>
                <w:szCs w:val="24"/>
              </w:rPr>
              <w:t>Tổng số phí thu được</w:t>
            </w:r>
          </w:p>
        </w:tc>
        <w:tc>
          <w:tcPr>
            <w:tcW w:w="1560" w:type="dxa"/>
            <w:vMerge w:val="restart"/>
            <w:vAlign w:val="center"/>
          </w:tcPr>
          <w:p w14:paraId="12DC2E45" w14:textId="77777777" w:rsidR="004A4A90" w:rsidRPr="000E1567" w:rsidRDefault="004A4A90" w:rsidP="005A32A6">
            <w:pPr>
              <w:widowControl w:val="0"/>
              <w:spacing w:before="120" w:after="120"/>
              <w:jc w:val="center"/>
              <w:rPr>
                <w:b/>
                <w:noProof/>
                <w:color w:val="000000" w:themeColor="text1"/>
                <w:sz w:val="24"/>
                <w:szCs w:val="24"/>
              </w:rPr>
            </w:pPr>
            <w:r w:rsidRPr="000E1567">
              <w:rPr>
                <w:b/>
                <w:noProof/>
                <w:color w:val="000000" w:themeColor="text1"/>
                <w:sz w:val="24"/>
                <w:szCs w:val="24"/>
              </w:rPr>
              <w:t>Số tiền nộp NSNN</w:t>
            </w:r>
          </w:p>
        </w:tc>
        <w:tc>
          <w:tcPr>
            <w:tcW w:w="1559" w:type="dxa"/>
            <w:vMerge w:val="restart"/>
            <w:vAlign w:val="center"/>
          </w:tcPr>
          <w:p w14:paraId="23E7BD79" w14:textId="77777777" w:rsidR="004A4A90" w:rsidRPr="000E1567" w:rsidRDefault="004A4A90" w:rsidP="005A32A6">
            <w:pPr>
              <w:widowControl w:val="0"/>
              <w:spacing w:before="120" w:after="120"/>
              <w:jc w:val="center"/>
              <w:rPr>
                <w:b/>
                <w:noProof/>
                <w:color w:val="000000" w:themeColor="text1"/>
                <w:sz w:val="24"/>
                <w:szCs w:val="24"/>
              </w:rPr>
            </w:pPr>
            <w:r w:rsidRPr="000E1567">
              <w:rPr>
                <w:b/>
                <w:noProof/>
                <w:color w:val="000000" w:themeColor="text1"/>
                <w:sz w:val="24"/>
                <w:szCs w:val="24"/>
              </w:rPr>
              <w:t>Số tiền được trích để lại</w:t>
            </w:r>
          </w:p>
        </w:tc>
        <w:tc>
          <w:tcPr>
            <w:tcW w:w="2977" w:type="dxa"/>
            <w:gridSpan w:val="2"/>
            <w:vAlign w:val="center"/>
          </w:tcPr>
          <w:p w14:paraId="0C5C8B79" w14:textId="77777777" w:rsidR="004A4A90" w:rsidRPr="000E1567" w:rsidRDefault="004A4A90" w:rsidP="005A32A6">
            <w:pPr>
              <w:widowControl w:val="0"/>
              <w:spacing w:before="120" w:after="120"/>
              <w:jc w:val="center"/>
              <w:rPr>
                <w:b/>
                <w:noProof/>
                <w:color w:val="000000" w:themeColor="text1"/>
                <w:sz w:val="24"/>
                <w:szCs w:val="24"/>
              </w:rPr>
            </w:pPr>
            <w:r w:rsidRPr="000E1567">
              <w:rPr>
                <w:b/>
                <w:noProof/>
                <w:color w:val="000000" w:themeColor="text1"/>
                <w:sz w:val="24"/>
                <w:szCs w:val="24"/>
              </w:rPr>
              <w:t>Số tiền chi từ số tiền được trích để lại</w:t>
            </w:r>
          </w:p>
        </w:tc>
      </w:tr>
      <w:tr w:rsidR="004A4A90" w:rsidRPr="000E1567" w14:paraId="1B3BBF02" w14:textId="77777777" w:rsidTr="000F4153">
        <w:trPr>
          <w:trHeight w:val="661"/>
        </w:trPr>
        <w:tc>
          <w:tcPr>
            <w:tcW w:w="1135" w:type="dxa"/>
            <w:vMerge/>
            <w:vAlign w:val="center"/>
          </w:tcPr>
          <w:p w14:paraId="684DB7F5" w14:textId="77777777" w:rsidR="004A4A90" w:rsidRPr="000E1567" w:rsidRDefault="004A4A90" w:rsidP="004A4A90">
            <w:pPr>
              <w:widowControl w:val="0"/>
              <w:spacing w:before="120" w:after="120"/>
              <w:jc w:val="center"/>
              <w:rPr>
                <w:b/>
                <w:noProof/>
                <w:color w:val="000000" w:themeColor="text1"/>
                <w:sz w:val="24"/>
                <w:szCs w:val="24"/>
              </w:rPr>
            </w:pPr>
          </w:p>
        </w:tc>
        <w:tc>
          <w:tcPr>
            <w:tcW w:w="992" w:type="dxa"/>
            <w:vMerge/>
            <w:vAlign w:val="center"/>
          </w:tcPr>
          <w:p w14:paraId="08973176" w14:textId="77777777" w:rsidR="004A4A90" w:rsidRPr="000E1567" w:rsidRDefault="004A4A90" w:rsidP="004A4A90">
            <w:pPr>
              <w:widowControl w:val="0"/>
              <w:spacing w:before="120" w:after="120"/>
              <w:jc w:val="center"/>
              <w:rPr>
                <w:b/>
                <w:noProof/>
                <w:color w:val="000000" w:themeColor="text1"/>
                <w:sz w:val="24"/>
                <w:szCs w:val="24"/>
              </w:rPr>
            </w:pPr>
          </w:p>
        </w:tc>
        <w:tc>
          <w:tcPr>
            <w:tcW w:w="1701" w:type="dxa"/>
            <w:vMerge/>
            <w:vAlign w:val="center"/>
          </w:tcPr>
          <w:p w14:paraId="2B512E38" w14:textId="77777777" w:rsidR="004A4A90" w:rsidRPr="000E1567" w:rsidRDefault="004A4A90" w:rsidP="004A4A90">
            <w:pPr>
              <w:widowControl w:val="0"/>
              <w:spacing w:before="120" w:after="120"/>
              <w:jc w:val="center"/>
              <w:rPr>
                <w:b/>
                <w:noProof/>
                <w:color w:val="000000" w:themeColor="text1"/>
                <w:sz w:val="24"/>
                <w:szCs w:val="24"/>
              </w:rPr>
            </w:pPr>
          </w:p>
        </w:tc>
        <w:tc>
          <w:tcPr>
            <w:tcW w:w="1560" w:type="dxa"/>
            <w:vMerge/>
            <w:vAlign w:val="center"/>
          </w:tcPr>
          <w:p w14:paraId="6466F694" w14:textId="77777777" w:rsidR="004A4A90" w:rsidRPr="000E1567" w:rsidRDefault="004A4A90" w:rsidP="004A4A90">
            <w:pPr>
              <w:widowControl w:val="0"/>
              <w:spacing w:before="120" w:after="120"/>
              <w:jc w:val="center"/>
              <w:rPr>
                <w:b/>
                <w:noProof/>
                <w:color w:val="000000" w:themeColor="text1"/>
                <w:sz w:val="24"/>
                <w:szCs w:val="24"/>
              </w:rPr>
            </w:pPr>
          </w:p>
        </w:tc>
        <w:tc>
          <w:tcPr>
            <w:tcW w:w="1559" w:type="dxa"/>
            <w:vMerge/>
            <w:vAlign w:val="center"/>
          </w:tcPr>
          <w:p w14:paraId="5D0E7C9B" w14:textId="77777777" w:rsidR="004A4A90" w:rsidRPr="000E1567" w:rsidRDefault="004A4A90" w:rsidP="004A4A90">
            <w:pPr>
              <w:widowControl w:val="0"/>
              <w:spacing w:before="120" w:after="120"/>
              <w:jc w:val="center"/>
              <w:rPr>
                <w:b/>
                <w:noProof/>
                <w:color w:val="000000" w:themeColor="text1"/>
                <w:sz w:val="24"/>
                <w:szCs w:val="24"/>
              </w:rPr>
            </w:pPr>
          </w:p>
        </w:tc>
        <w:tc>
          <w:tcPr>
            <w:tcW w:w="1446" w:type="dxa"/>
            <w:vAlign w:val="center"/>
          </w:tcPr>
          <w:p w14:paraId="691E06D6" w14:textId="046B031C" w:rsidR="004A4A90" w:rsidRPr="000E1567" w:rsidRDefault="001B41E2" w:rsidP="004A4A90">
            <w:pPr>
              <w:widowControl w:val="0"/>
              <w:spacing w:before="120" w:after="120"/>
              <w:jc w:val="center"/>
              <w:rPr>
                <w:b/>
                <w:noProof/>
                <w:color w:val="000000" w:themeColor="text1"/>
                <w:sz w:val="24"/>
                <w:szCs w:val="24"/>
              </w:rPr>
            </w:pPr>
            <w:r w:rsidRPr="000E1567">
              <w:rPr>
                <w:noProof/>
                <w:color w:val="auto"/>
                <w:sz w:val="24"/>
                <w:szCs w:val="24"/>
              </w:rPr>
              <w:t>Chi phục vụ công tác thẩm định</w:t>
            </w:r>
          </w:p>
        </w:tc>
        <w:tc>
          <w:tcPr>
            <w:tcW w:w="1531" w:type="dxa"/>
            <w:vAlign w:val="center"/>
          </w:tcPr>
          <w:p w14:paraId="0FCF3548" w14:textId="73AA2FDF" w:rsidR="004A4A90" w:rsidRPr="001B41E2" w:rsidRDefault="001B41E2" w:rsidP="004A4A90">
            <w:pPr>
              <w:widowControl w:val="0"/>
              <w:spacing w:before="120" w:after="120"/>
              <w:jc w:val="center"/>
              <w:rPr>
                <w:bCs/>
                <w:noProof/>
                <w:color w:val="000000" w:themeColor="text1"/>
                <w:sz w:val="24"/>
                <w:szCs w:val="24"/>
              </w:rPr>
            </w:pPr>
            <w:r w:rsidRPr="001B41E2">
              <w:rPr>
                <w:bCs/>
                <w:noProof/>
                <w:color w:val="000000" w:themeColor="text1"/>
                <w:sz w:val="24"/>
                <w:szCs w:val="24"/>
              </w:rPr>
              <w:t>CCTL</w:t>
            </w:r>
          </w:p>
        </w:tc>
      </w:tr>
      <w:tr w:rsidR="00B8257E" w:rsidRPr="000E1567" w14:paraId="1DA9C4EF" w14:textId="77777777" w:rsidTr="000F4153">
        <w:trPr>
          <w:trHeight w:val="466"/>
        </w:trPr>
        <w:tc>
          <w:tcPr>
            <w:tcW w:w="1135" w:type="dxa"/>
            <w:vAlign w:val="center"/>
          </w:tcPr>
          <w:p w14:paraId="5D93BA58" w14:textId="15EFB690" w:rsidR="00B8257E" w:rsidRPr="00B8257E" w:rsidRDefault="00B8257E" w:rsidP="004A4A90">
            <w:pPr>
              <w:widowControl w:val="0"/>
              <w:spacing w:before="120" w:after="120"/>
              <w:jc w:val="center"/>
              <w:rPr>
                <w:bCs/>
                <w:noProof/>
                <w:color w:val="000000" w:themeColor="text1"/>
                <w:sz w:val="24"/>
                <w:szCs w:val="24"/>
              </w:rPr>
            </w:pPr>
            <w:r>
              <w:rPr>
                <w:bCs/>
                <w:noProof/>
                <w:color w:val="000000" w:themeColor="text1"/>
                <w:sz w:val="24"/>
                <w:szCs w:val="24"/>
              </w:rPr>
              <w:t>2022</w:t>
            </w:r>
            <w:r w:rsidR="00EB620B">
              <w:rPr>
                <w:rStyle w:val="FootnoteReference"/>
                <w:bCs/>
                <w:noProof/>
                <w:color w:val="000000" w:themeColor="text1"/>
                <w:sz w:val="24"/>
                <w:szCs w:val="24"/>
              </w:rPr>
              <w:footnoteReference w:id="1"/>
            </w:r>
          </w:p>
        </w:tc>
        <w:tc>
          <w:tcPr>
            <w:tcW w:w="992" w:type="dxa"/>
            <w:vAlign w:val="center"/>
          </w:tcPr>
          <w:p w14:paraId="0760A63A" w14:textId="795C6722" w:rsidR="00B8257E" w:rsidRPr="00B8257E" w:rsidRDefault="00204CC8" w:rsidP="004A4A90">
            <w:pPr>
              <w:widowControl w:val="0"/>
              <w:spacing w:before="120" w:after="120"/>
              <w:jc w:val="center"/>
              <w:rPr>
                <w:bCs/>
                <w:noProof/>
                <w:color w:val="000000" w:themeColor="text1"/>
                <w:sz w:val="24"/>
                <w:szCs w:val="24"/>
              </w:rPr>
            </w:pPr>
            <w:r>
              <w:rPr>
                <w:bCs/>
                <w:noProof/>
                <w:color w:val="000000" w:themeColor="text1"/>
                <w:sz w:val="24"/>
                <w:szCs w:val="24"/>
              </w:rPr>
              <w:t>20</w:t>
            </w:r>
          </w:p>
        </w:tc>
        <w:tc>
          <w:tcPr>
            <w:tcW w:w="1701" w:type="dxa"/>
            <w:vAlign w:val="center"/>
          </w:tcPr>
          <w:p w14:paraId="21D5B3E6" w14:textId="5EEF4270" w:rsidR="00B8257E" w:rsidRPr="00B8257E" w:rsidRDefault="00204CC8" w:rsidP="004A4A90">
            <w:pPr>
              <w:widowControl w:val="0"/>
              <w:spacing w:before="120" w:after="120"/>
              <w:jc w:val="center"/>
              <w:rPr>
                <w:bCs/>
                <w:noProof/>
                <w:color w:val="000000" w:themeColor="text1"/>
                <w:sz w:val="24"/>
                <w:szCs w:val="24"/>
              </w:rPr>
            </w:pPr>
            <w:r>
              <w:rPr>
                <w:bCs/>
                <w:noProof/>
                <w:color w:val="000000" w:themeColor="text1"/>
                <w:sz w:val="24"/>
                <w:szCs w:val="24"/>
              </w:rPr>
              <w:t>72.000.000</w:t>
            </w:r>
          </w:p>
        </w:tc>
        <w:tc>
          <w:tcPr>
            <w:tcW w:w="1560" w:type="dxa"/>
            <w:vAlign w:val="center"/>
          </w:tcPr>
          <w:p w14:paraId="1E633435" w14:textId="507096BC" w:rsidR="00B8257E" w:rsidRPr="00B8257E" w:rsidRDefault="00204CC8" w:rsidP="004A4A90">
            <w:pPr>
              <w:widowControl w:val="0"/>
              <w:spacing w:before="120" w:after="120"/>
              <w:jc w:val="center"/>
              <w:rPr>
                <w:bCs/>
                <w:noProof/>
                <w:color w:val="000000" w:themeColor="text1"/>
                <w:sz w:val="24"/>
                <w:szCs w:val="24"/>
              </w:rPr>
            </w:pPr>
            <w:r>
              <w:rPr>
                <w:bCs/>
                <w:noProof/>
                <w:color w:val="000000" w:themeColor="text1"/>
                <w:sz w:val="24"/>
                <w:szCs w:val="24"/>
              </w:rPr>
              <w:t>7.200.000</w:t>
            </w:r>
          </w:p>
        </w:tc>
        <w:tc>
          <w:tcPr>
            <w:tcW w:w="1559" w:type="dxa"/>
            <w:vAlign w:val="center"/>
          </w:tcPr>
          <w:p w14:paraId="5ED68AD3" w14:textId="66DE225F" w:rsidR="00B8257E" w:rsidRPr="00B8257E" w:rsidRDefault="00204CC8" w:rsidP="004A4A90">
            <w:pPr>
              <w:widowControl w:val="0"/>
              <w:spacing w:before="120" w:after="120"/>
              <w:jc w:val="center"/>
              <w:rPr>
                <w:bCs/>
                <w:noProof/>
                <w:color w:val="000000" w:themeColor="text1"/>
                <w:sz w:val="24"/>
                <w:szCs w:val="24"/>
              </w:rPr>
            </w:pPr>
            <w:r>
              <w:rPr>
                <w:bCs/>
                <w:noProof/>
                <w:color w:val="000000" w:themeColor="text1"/>
                <w:sz w:val="24"/>
                <w:szCs w:val="24"/>
              </w:rPr>
              <w:t>64.800.000</w:t>
            </w:r>
          </w:p>
        </w:tc>
        <w:tc>
          <w:tcPr>
            <w:tcW w:w="1446" w:type="dxa"/>
            <w:vAlign w:val="center"/>
          </w:tcPr>
          <w:p w14:paraId="6798BBFB" w14:textId="5A8E1F58" w:rsidR="00B8257E" w:rsidRPr="00B8257E" w:rsidRDefault="00DA48F9" w:rsidP="004A4A90">
            <w:pPr>
              <w:widowControl w:val="0"/>
              <w:spacing w:before="120" w:after="120"/>
              <w:jc w:val="center"/>
              <w:rPr>
                <w:bCs/>
                <w:noProof/>
                <w:color w:val="auto"/>
                <w:sz w:val="24"/>
                <w:szCs w:val="24"/>
                <w:lang w:val="en-US"/>
              </w:rPr>
            </w:pPr>
            <w:r>
              <w:rPr>
                <w:bCs/>
                <w:noProof/>
                <w:color w:val="auto"/>
                <w:sz w:val="24"/>
                <w:szCs w:val="24"/>
                <w:lang w:val="en-US"/>
              </w:rPr>
              <w:t>32.550.000</w:t>
            </w:r>
          </w:p>
        </w:tc>
        <w:tc>
          <w:tcPr>
            <w:tcW w:w="1531" w:type="dxa"/>
            <w:vAlign w:val="center"/>
          </w:tcPr>
          <w:p w14:paraId="69708BA2" w14:textId="05A93D8B" w:rsidR="00B8257E" w:rsidRPr="00B8257E" w:rsidRDefault="00DA48F9" w:rsidP="004A4A90">
            <w:pPr>
              <w:widowControl w:val="0"/>
              <w:spacing w:before="120" w:after="120"/>
              <w:jc w:val="center"/>
              <w:rPr>
                <w:bCs/>
                <w:noProof/>
                <w:color w:val="auto"/>
                <w:sz w:val="24"/>
                <w:szCs w:val="24"/>
              </w:rPr>
            </w:pPr>
            <w:r>
              <w:rPr>
                <w:bCs/>
                <w:noProof/>
                <w:color w:val="auto"/>
                <w:sz w:val="24"/>
                <w:szCs w:val="24"/>
              </w:rPr>
              <w:t>32.250.000</w:t>
            </w:r>
          </w:p>
        </w:tc>
      </w:tr>
      <w:tr w:rsidR="006812CE" w:rsidRPr="000E1567" w14:paraId="0E1F5EA8" w14:textId="77777777" w:rsidTr="000F4153">
        <w:trPr>
          <w:trHeight w:val="310"/>
        </w:trPr>
        <w:tc>
          <w:tcPr>
            <w:tcW w:w="1135" w:type="dxa"/>
            <w:vAlign w:val="center"/>
          </w:tcPr>
          <w:p w14:paraId="1B2FEBC2" w14:textId="71A34151" w:rsidR="006812CE" w:rsidRPr="000E1567" w:rsidRDefault="006812CE" w:rsidP="005A32A6">
            <w:pPr>
              <w:widowControl w:val="0"/>
              <w:spacing w:before="120" w:after="120"/>
              <w:jc w:val="center"/>
              <w:rPr>
                <w:noProof/>
                <w:color w:val="000000" w:themeColor="text1"/>
                <w:sz w:val="24"/>
                <w:szCs w:val="24"/>
              </w:rPr>
            </w:pPr>
            <w:r w:rsidRPr="000E1567">
              <w:rPr>
                <w:noProof/>
                <w:color w:val="000000" w:themeColor="text1"/>
                <w:sz w:val="24"/>
                <w:szCs w:val="24"/>
              </w:rPr>
              <w:t>2023</w:t>
            </w:r>
          </w:p>
        </w:tc>
        <w:tc>
          <w:tcPr>
            <w:tcW w:w="992" w:type="dxa"/>
            <w:vAlign w:val="center"/>
          </w:tcPr>
          <w:p w14:paraId="18742598" w14:textId="296A1145" w:rsidR="006812CE" w:rsidRPr="000E1567" w:rsidRDefault="00204CC8" w:rsidP="005A32A6">
            <w:pPr>
              <w:widowControl w:val="0"/>
              <w:spacing w:before="120" w:after="120"/>
              <w:jc w:val="center"/>
              <w:rPr>
                <w:noProof/>
                <w:color w:val="auto"/>
                <w:sz w:val="24"/>
                <w:szCs w:val="24"/>
              </w:rPr>
            </w:pPr>
            <w:r>
              <w:rPr>
                <w:noProof/>
                <w:color w:val="auto"/>
                <w:sz w:val="24"/>
                <w:szCs w:val="24"/>
              </w:rPr>
              <w:t>23</w:t>
            </w:r>
          </w:p>
        </w:tc>
        <w:tc>
          <w:tcPr>
            <w:tcW w:w="1701" w:type="dxa"/>
            <w:vAlign w:val="center"/>
          </w:tcPr>
          <w:p w14:paraId="3AD2E537" w14:textId="6196C3A3" w:rsidR="006812CE" w:rsidRPr="000E1567" w:rsidRDefault="0003447A" w:rsidP="005A32A6">
            <w:pPr>
              <w:widowControl w:val="0"/>
              <w:spacing w:before="120" w:after="120"/>
              <w:jc w:val="center"/>
              <w:rPr>
                <w:noProof/>
                <w:color w:val="auto"/>
                <w:sz w:val="24"/>
                <w:szCs w:val="24"/>
              </w:rPr>
            </w:pPr>
            <w:r>
              <w:rPr>
                <w:noProof/>
                <w:color w:val="auto"/>
                <w:sz w:val="24"/>
                <w:szCs w:val="24"/>
              </w:rPr>
              <w:t>247</w:t>
            </w:r>
            <w:r w:rsidR="006812CE" w:rsidRPr="000E1567">
              <w:rPr>
                <w:noProof/>
                <w:color w:val="auto"/>
                <w:sz w:val="24"/>
                <w:szCs w:val="24"/>
              </w:rPr>
              <w:t>.000.000</w:t>
            </w:r>
          </w:p>
        </w:tc>
        <w:tc>
          <w:tcPr>
            <w:tcW w:w="1560" w:type="dxa"/>
            <w:vAlign w:val="center"/>
          </w:tcPr>
          <w:p w14:paraId="47B03886" w14:textId="654A4B84" w:rsidR="006812CE" w:rsidRPr="000E1567" w:rsidRDefault="0003447A" w:rsidP="005A32A6">
            <w:pPr>
              <w:widowControl w:val="0"/>
              <w:spacing w:before="120" w:after="120"/>
              <w:jc w:val="center"/>
              <w:rPr>
                <w:noProof/>
                <w:color w:val="auto"/>
                <w:sz w:val="24"/>
                <w:szCs w:val="24"/>
              </w:rPr>
            </w:pPr>
            <w:r>
              <w:rPr>
                <w:noProof/>
                <w:color w:val="auto"/>
                <w:sz w:val="24"/>
                <w:szCs w:val="24"/>
              </w:rPr>
              <w:t>24.700</w:t>
            </w:r>
            <w:r w:rsidR="006812CE" w:rsidRPr="000E1567">
              <w:rPr>
                <w:noProof/>
                <w:color w:val="auto"/>
                <w:sz w:val="24"/>
                <w:szCs w:val="24"/>
              </w:rPr>
              <w:t>.000</w:t>
            </w:r>
          </w:p>
        </w:tc>
        <w:tc>
          <w:tcPr>
            <w:tcW w:w="1559" w:type="dxa"/>
            <w:vAlign w:val="center"/>
          </w:tcPr>
          <w:p w14:paraId="4E753E0D" w14:textId="354EDDFA" w:rsidR="006812CE" w:rsidRPr="000E1567" w:rsidRDefault="0003447A" w:rsidP="005A32A6">
            <w:pPr>
              <w:widowControl w:val="0"/>
              <w:spacing w:before="120" w:after="120"/>
              <w:jc w:val="center"/>
              <w:rPr>
                <w:noProof/>
                <w:color w:val="auto"/>
                <w:sz w:val="24"/>
                <w:szCs w:val="24"/>
              </w:rPr>
            </w:pPr>
            <w:r>
              <w:rPr>
                <w:noProof/>
                <w:color w:val="auto"/>
                <w:sz w:val="24"/>
                <w:szCs w:val="24"/>
              </w:rPr>
              <w:t>222.300</w:t>
            </w:r>
            <w:r w:rsidR="006812CE" w:rsidRPr="000E1567">
              <w:rPr>
                <w:noProof/>
                <w:color w:val="auto"/>
                <w:sz w:val="24"/>
                <w:szCs w:val="24"/>
              </w:rPr>
              <w:t>.000</w:t>
            </w:r>
          </w:p>
        </w:tc>
        <w:tc>
          <w:tcPr>
            <w:tcW w:w="1446" w:type="dxa"/>
            <w:vAlign w:val="center"/>
          </w:tcPr>
          <w:p w14:paraId="653F840D" w14:textId="4C21D287" w:rsidR="006812CE" w:rsidRPr="000E1567" w:rsidRDefault="003778D2" w:rsidP="005A32A6">
            <w:pPr>
              <w:widowControl w:val="0"/>
              <w:spacing w:before="120" w:after="120"/>
              <w:jc w:val="center"/>
              <w:rPr>
                <w:noProof/>
                <w:color w:val="auto"/>
                <w:sz w:val="24"/>
                <w:szCs w:val="24"/>
              </w:rPr>
            </w:pPr>
            <w:r>
              <w:rPr>
                <w:noProof/>
                <w:color w:val="auto"/>
                <w:sz w:val="24"/>
                <w:szCs w:val="24"/>
              </w:rPr>
              <w:t>101.112</w:t>
            </w:r>
            <w:r w:rsidR="000F4153">
              <w:rPr>
                <w:noProof/>
                <w:color w:val="auto"/>
                <w:sz w:val="24"/>
                <w:szCs w:val="24"/>
              </w:rPr>
              <w:t>.000</w:t>
            </w:r>
          </w:p>
        </w:tc>
        <w:tc>
          <w:tcPr>
            <w:tcW w:w="1531" w:type="dxa"/>
            <w:vAlign w:val="center"/>
          </w:tcPr>
          <w:p w14:paraId="02DA5C9B" w14:textId="0B7C46A7" w:rsidR="006812CE" w:rsidRPr="000E1567" w:rsidRDefault="000F4153" w:rsidP="005A32A6">
            <w:pPr>
              <w:widowControl w:val="0"/>
              <w:spacing w:before="120" w:after="120"/>
              <w:jc w:val="center"/>
              <w:rPr>
                <w:noProof/>
                <w:color w:val="auto"/>
                <w:sz w:val="24"/>
                <w:szCs w:val="24"/>
              </w:rPr>
            </w:pPr>
            <w:r>
              <w:rPr>
                <w:noProof/>
                <w:color w:val="auto"/>
                <w:sz w:val="24"/>
                <w:szCs w:val="24"/>
              </w:rPr>
              <w:t>12</w:t>
            </w:r>
            <w:r w:rsidR="005873E6">
              <w:rPr>
                <w:noProof/>
                <w:color w:val="auto"/>
                <w:sz w:val="24"/>
                <w:szCs w:val="24"/>
              </w:rPr>
              <w:t>1</w:t>
            </w:r>
            <w:r>
              <w:rPr>
                <w:noProof/>
                <w:color w:val="auto"/>
                <w:sz w:val="24"/>
                <w:szCs w:val="24"/>
              </w:rPr>
              <w:t>.</w:t>
            </w:r>
            <w:r w:rsidR="005873E6">
              <w:rPr>
                <w:noProof/>
                <w:color w:val="auto"/>
                <w:sz w:val="24"/>
                <w:szCs w:val="24"/>
              </w:rPr>
              <w:t>188</w:t>
            </w:r>
            <w:r>
              <w:rPr>
                <w:noProof/>
                <w:color w:val="auto"/>
                <w:sz w:val="24"/>
                <w:szCs w:val="24"/>
              </w:rPr>
              <w:t>.000</w:t>
            </w:r>
          </w:p>
        </w:tc>
      </w:tr>
      <w:tr w:rsidR="006812CE" w:rsidRPr="000E1567" w14:paraId="0CD2F530" w14:textId="77777777" w:rsidTr="000F4153">
        <w:trPr>
          <w:trHeight w:val="494"/>
        </w:trPr>
        <w:tc>
          <w:tcPr>
            <w:tcW w:w="1135" w:type="dxa"/>
            <w:vAlign w:val="center"/>
          </w:tcPr>
          <w:p w14:paraId="1382169D" w14:textId="38E78B9C" w:rsidR="006812CE" w:rsidRPr="000E1567" w:rsidRDefault="006812CE" w:rsidP="005A32A6">
            <w:pPr>
              <w:widowControl w:val="0"/>
              <w:spacing w:before="120" w:after="120"/>
              <w:jc w:val="center"/>
              <w:rPr>
                <w:noProof/>
                <w:color w:val="000000" w:themeColor="text1"/>
                <w:sz w:val="24"/>
                <w:szCs w:val="24"/>
              </w:rPr>
            </w:pPr>
            <w:r w:rsidRPr="000E1567">
              <w:rPr>
                <w:noProof/>
                <w:color w:val="000000" w:themeColor="text1"/>
                <w:sz w:val="24"/>
                <w:szCs w:val="24"/>
              </w:rPr>
              <w:t>2024</w:t>
            </w:r>
          </w:p>
        </w:tc>
        <w:tc>
          <w:tcPr>
            <w:tcW w:w="992" w:type="dxa"/>
            <w:vAlign w:val="center"/>
          </w:tcPr>
          <w:p w14:paraId="00AA43FB" w14:textId="32C9716D" w:rsidR="006812CE" w:rsidRPr="000E1567" w:rsidRDefault="00204CC8" w:rsidP="005A32A6">
            <w:pPr>
              <w:widowControl w:val="0"/>
              <w:spacing w:before="120" w:after="120"/>
              <w:jc w:val="center"/>
              <w:rPr>
                <w:noProof/>
                <w:color w:val="auto"/>
                <w:sz w:val="24"/>
                <w:szCs w:val="24"/>
              </w:rPr>
            </w:pPr>
            <w:r>
              <w:rPr>
                <w:noProof/>
                <w:color w:val="auto"/>
                <w:sz w:val="24"/>
                <w:szCs w:val="24"/>
              </w:rPr>
              <w:t>20</w:t>
            </w:r>
          </w:p>
        </w:tc>
        <w:tc>
          <w:tcPr>
            <w:tcW w:w="1701" w:type="dxa"/>
            <w:vAlign w:val="center"/>
          </w:tcPr>
          <w:p w14:paraId="1EFE977A" w14:textId="65B234AE" w:rsidR="006812CE" w:rsidRPr="000E1567" w:rsidRDefault="0003447A" w:rsidP="005A32A6">
            <w:pPr>
              <w:widowControl w:val="0"/>
              <w:spacing w:before="120" w:after="120"/>
              <w:jc w:val="center"/>
              <w:rPr>
                <w:noProof/>
                <w:color w:val="auto"/>
                <w:sz w:val="24"/>
                <w:szCs w:val="24"/>
              </w:rPr>
            </w:pPr>
            <w:r>
              <w:rPr>
                <w:noProof/>
                <w:color w:val="auto"/>
                <w:sz w:val="24"/>
                <w:szCs w:val="24"/>
              </w:rPr>
              <w:t>220.999</w:t>
            </w:r>
            <w:r w:rsidR="006812CE" w:rsidRPr="000E1567">
              <w:rPr>
                <w:noProof/>
                <w:color w:val="auto"/>
                <w:sz w:val="24"/>
                <w:szCs w:val="24"/>
              </w:rPr>
              <w:t>.</w:t>
            </w:r>
            <w:r>
              <w:rPr>
                <w:noProof/>
                <w:color w:val="auto"/>
                <w:sz w:val="24"/>
                <w:szCs w:val="24"/>
              </w:rPr>
              <w:t>998</w:t>
            </w:r>
          </w:p>
        </w:tc>
        <w:tc>
          <w:tcPr>
            <w:tcW w:w="1560" w:type="dxa"/>
            <w:vAlign w:val="center"/>
          </w:tcPr>
          <w:p w14:paraId="2805EC01" w14:textId="20D3FE13" w:rsidR="006812CE" w:rsidRPr="000E1567" w:rsidRDefault="0003447A" w:rsidP="005A32A6">
            <w:pPr>
              <w:widowControl w:val="0"/>
              <w:spacing w:before="120" w:after="120"/>
              <w:jc w:val="center"/>
              <w:rPr>
                <w:noProof/>
                <w:color w:val="auto"/>
                <w:sz w:val="24"/>
                <w:szCs w:val="24"/>
              </w:rPr>
            </w:pPr>
            <w:r>
              <w:rPr>
                <w:noProof/>
                <w:color w:val="auto"/>
                <w:sz w:val="24"/>
                <w:szCs w:val="24"/>
              </w:rPr>
              <w:t>22.100.000</w:t>
            </w:r>
          </w:p>
        </w:tc>
        <w:tc>
          <w:tcPr>
            <w:tcW w:w="1559" w:type="dxa"/>
            <w:vAlign w:val="center"/>
          </w:tcPr>
          <w:p w14:paraId="063BA8B0" w14:textId="07DC26A8" w:rsidR="006812CE" w:rsidRPr="000E1567" w:rsidRDefault="0003447A" w:rsidP="005A32A6">
            <w:pPr>
              <w:widowControl w:val="0"/>
              <w:spacing w:before="120" w:after="120"/>
              <w:jc w:val="center"/>
              <w:rPr>
                <w:noProof/>
                <w:color w:val="auto"/>
                <w:sz w:val="24"/>
                <w:szCs w:val="24"/>
              </w:rPr>
            </w:pPr>
            <w:r>
              <w:rPr>
                <w:noProof/>
                <w:color w:val="auto"/>
                <w:sz w:val="24"/>
                <w:szCs w:val="24"/>
              </w:rPr>
              <w:t>198.899.998</w:t>
            </w:r>
          </w:p>
        </w:tc>
        <w:tc>
          <w:tcPr>
            <w:tcW w:w="1446" w:type="dxa"/>
            <w:vAlign w:val="center"/>
          </w:tcPr>
          <w:p w14:paraId="0AE893B2" w14:textId="67C3FEE1" w:rsidR="006812CE" w:rsidRPr="000E1567" w:rsidRDefault="001B41E2" w:rsidP="0069539B">
            <w:pPr>
              <w:widowControl w:val="0"/>
              <w:spacing w:before="120" w:after="120"/>
              <w:jc w:val="center"/>
              <w:rPr>
                <w:noProof/>
                <w:color w:val="auto"/>
                <w:sz w:val="24"/>
                <w:szCs w:val="24"/>
              </w:rPr>
            </w:pPr>
            <w:r>
              <w:rPr>
                <w:noProof/>
                <w:color w:val="auto"/>
                <w:sz w:val="24"/>
                <w:szCs w:val="24"/>
              </w:rPr>
              <w:t>107.450.000</w:t>
            </w:r>
          </w:p>
        </w:tc>
        <w:tc>
          <w:tcPr>
            <w:tcW w:w="1531" w:type="dxa"/>
            <w:vAlign w:val="center"/>
          </w:tcPr>
          <w:p w14:paraId="39C31A41" w14:textId="7C1B6BD0" w:rsidR="006812CE" w:rsidRPr="000E1567" w:rsidRDefault="001B41E2" w:rsidP="00132E00">
            <w:pPr>
              <w:widowControl w:val="0"/>
              <w:spacing w:before="120" w:after="120"/>
              <w:jc w:val="center"/>
              <w:rPr>
                <w:noProof/>
                <w:color w:val="auto"/>
                <w:sz w:val="24"/>
                <w:szCs w:val="24"/>
              </w:rPr>
            </w:pPr>
            <w:r>
              <w:rPr>
                <w:noProof/>
                <w:color w:val="auto"/>
                <w:sz w:val="24"/>
                <w:szCs w:val="24"/>
              </w:rPr>
              <w:t>91.449.998</w:t>
            </w:r>
          </w:p>
        </w:tc>
      </w:tr>
      <w:tr w:rsidR="00204CC8" w:rsidRPr="000E1567" w14:paraId="14D362C9" w14:textId="77777777" w:rsidTr="000F4153">
        <w:trPr>
          <w:trHeight w:val="285"/>
        </w:trPr>
        <w:tc>
          <w:tcPr>
            <w:tcW w:w="1135" w:type="dxa"/>
            <w:vAlign w:val="center"/>
          </w:tcPr>
          <w:p w14:paraId="12658AB0" w14:textId="12F73AA3" w:rsidR="00204CC8" w:rsidRPr="000E1567" w:rsidRDefault="00204CC8" w:rsidP="00204CC8">
            <w:pPr>
              <w:widowControl w:val="0"/>
              <w:spacing w:before="120" w:after="120"/>
              <w:jc w:val="center"/>
              <w:rPr>
                <w:noProof/>
                <w:color w:val="000000" w:themeColor="text1"/>
                <w:sz w:val="24"/>
                <w:szCs w:val="24"/>
              </w:rPr>
            </w:pPr>
            <w:r w:rsidRPr="000E1567">
              <w:rPr>
                <w:noProof/>
                <w:color w:val="000000" w:themeColor="text1"/>
                <w:sz w:val="24"/>
                <w:szCs w:val="24"/>
              </w:rPr>
              <w:t>2025</w:t>
            </w:r>
            <w:r w:rsidRPr="000E1567">
              <w:rPr>
                <w:rStyle w:val="FootnoteReference"/>
                <w:noProof/>
                <w:color w:val="000000" w:themeColor="text1"/>
                <w:sz w:val="24"/>
                <w:szCs w:val="24"/>
              </w:rPr>
              <w:footnoteReference w:id="2"/>
            </w:r>
          </w:p>
        </w:tc>
        <w:tc>
          <w:tcPr>
            <w:tcW w:w="992" w:type="dxa"/>
            <w:vAlign w:val="center"/>
          </w:tcPr>
          <w:p w14:paraId="5C863CE8" w14:textId="240B6B26" w:rsidR="00204CC8" w:rsidRPr="000E1567" w:rsidRDefault="00204CC8" w:rsidP="00204CC8">
            <w:pPr>
              <w:widowControl w:val="0"/>
              <w:spacing w:before="120" w:after="120"/>
              <w:jc w:val="center"/>
              <w:rPr>
                <w:noProof/>
                <w:color w:val="auto"/>
                <w:sz w:val="24"/>
                <w:szCs w:val="24"/>
              </w:rPr>
            </w:pPr>
            <w:r>
              <w:rPr>
                <w:noProof/>
                <w:color w:val="auto"/>
                <w:sz w:val="24"/>
                <w:szCs w:val="24"/>
              </w:rPr>
              <w:t>12</w:t>
            </w:r>
          </w:p>
        </w:tc>
        <w:tc>
          <w:tcPr>
            <w:tcW w:w="1701" w:type="dxa"/>
            <w:vAlign w:val="center"/>
          </w:tcPr>
          <w:p w14:paraId="24DB6840" w14:textId="2AE47B03" w:rsidR="00204CC8" w:rsidRPr="000E1567" w:rsidRDefault="00204CC8" w:rsidP="00204CC8">
            <w:pPr>
              <w:widowControl w:val="0"/>
              <w:spacing w:before="120" w:after="120"/>
              <w:jc w:val="center"/>
              <w:rPr>
                <w:noProof/>
                <w:color w:val="auto"/>
                <w:sz w:val="24"/>
                <w:szCs w:val="24"/>
              </w:rPr>
            </w:pPr>
            <w:r>
              <w:rPr>
                <w:bCs/>
                <w:noProof/>
                <w:color w:val="000000" w:themeColor="text1"/>
                <w:sz w:val="24"/>
                <w:szCs w:val="24"/>
              </w:rPr>
              <w:t>72.000.000</w:t>
            </w:r>
          </w:p>
        </w:tc>
        <w:tc>
          <w:tcPr>
            <w:tcW w:w="1560" w:type="dxa"/>
            <w:vAlign w:val="center"/>
          </w:tcPr>
          <w:p w14:paraId="103B1C2C" w14:textId="06E00966" w:rsidR="00204CC8" w:rsidRPr="000E1567" w:rsidRDefault="00204CC8" w:rsidP="00204CC8">
            <w:pPr>
              <w:widowControl w:val="0"/>
              <w:spacing w:before="120" w:after="120"/>
              <w:jc w:val="center"/>
              <w:rPr>
                <w:noProof/>
                <w:color w:val="auto"/>
                <w:sz w:val="24"/>
                <w:szCs w:val="24"/>
              </w:rPr>
            </w:pPr>
            <w:r>
              <w:rPr>
                <w:bCs/>
                <w:noProof/>
                <w:color w:val="000000" w:themeColor="text1"/>
                <w:sz w:val="24"/>
                <w:szCs w:val="24"/>
              </w:rPr>
              <w:t>7.200.000</w:t>
            </w:r>
          </w:p>
        </w:tc>
        <w:tc>
          <w:tcPr>
            <w:tcW w:w="1559" w:type="dxa"/>
            <w:vAlign w:val="center"/>
          </w:tcPr>
          <w:p w14:paraId="46B46AF2" w14:textId="1FF7C7CE" w:rsidR="00204CC8" w:rsidRPr="000E1567" w:rsidRDefault="00204CC8" w:rsidP="00204CC8">
            <w:pPr>
              <w:widowControl w:val="0"/>
              <w:spacing w:before="120" w:after="120"/>
              <w:jc w:val="center"/>
              <w:rPr>
                <w:noProof/>
                <w:color w:val="auto"/>
                <w:sz w:val="24"/>
                <w:szCs w:val="24"/>
              </w:rPr>
            </w:pPr>
            <w:r>
              <w:rPr>
                <w:bCs/>
                <w:noProof/>
                <w:color w:val="000000" w:themeColor="text1"/>
                <w:sz w:val="24"/>
                <w:szCs w:val="24"/>
              </w:rPr>
              <w:t>64.800.000</w:t>
            </w:r>
          </w:p>
        </w:tc>
        <w:tc>
          <w:tcPr>
            <w:tcW w:w="1446" w:type="dxa"/>
            <w:vAlign w:val="center"/>
          </w:tcPr>
          <w:p w14:paraId="1E56D276" w14:textId="1F3C415A" w:rsidR="00204CC8" w:rsidRPr="000E1567" w:rsidRDefault="00294FF9" w:rsidP="00204CC8">
            <w:pPr>
              <w:widowControl w:val="0"/>
              <w:spacing w:before="120" w:after="120"/>
              <w:jc w:val="center"/>
              <w:rPr>
                <w:noProof/>
                <w:color w:val="auto"/>
                <w:sz w:val="24"/>
                <w:szCs w:val="24"/>
              </w:rPr>
            </w:pPr>
            <w:r>
              <w:rPr>
                <w:noProof/>
                <w:color w:val="auto"/>
                <w:sz w:val="24"/>
                <w:szCs w:val="24"/>
              </w:rPr>
              <w:t>53.009.000</w:t>
            </w:r>
          </w:p>
        </w:tc>
        <w:tc>
          <w:tcPr>
            <w:tcW w:w="1531" w:type="dxa"/>
            <w:vAlign w:val="center"/>
          </w:tcPr>
          <w:p w14:paraId="1277B124" w14:textId="49E1D985" w:rsidR="00204CC8" w:rsidRPr="000E1567" w:rsidRDefault="00294FF9" w:rsidP="00204CC8">
            <w:pPr>
              <w:widowControl w:val="0"/>
              <w:spacing w:before="120" w:after="120"/>
              <w:jc w:val="center"/>
              <w:rPr>
                <w:noProof/>
                <w:color w:val="auto"/>
                <w:sz w:val="24"/>
                <w:szCs w:val="24"/>
              </w:rPr>
            </w:pPr>
            <w:r>
              <w:rPr>
                <w:noProof/>
                <w:color w:val="auto"/>
                <w:sz w:val="24"/>
                <w:szCs w:val="24"/>
              </w:rPr>
              <w:t>11.791.000</w:t>
            </w:r>
          </w:p>
        </w:tc>
      </w:tr>
      <w:tr w:rsidR="00D60A2C" w:rsidRPr="00344CA5" w14:paraId="045455B3" w14:textId="77777777" w:rsidTr="004A4A90">
        <w:trPr>
          <w:trHeight w:val="285"/>
        </w:trPr>
        <w:tc>
          <w:tcPr>
            <w:tcW w:w="1135" w:type="dxa"/>
            <w:vAlign w:val="center"/>
          </w:tcPr>
          <w:p w14:paraId="78BA3CCA" w14:textId="58E91F29" w:rsidR="00D60A2C" w:rsidRPr="000E1567" w:rsidRDefault="00D60A2C" w:rsidP="00D60A2C">
            <w:pPr>
              <w:widowControl w:val="0"/>
              <w:spacing w:before="120" w:after="120"/>
              <w:jc w:val="center"/>
              <w:rPr>
                <w:b/>
                <w:bCs/>
                <w:noProof/>
                <w:color w:val="000000" w:themeColor="text1"/>
                <w:sz w:val="24"/>
                <w:szCs w:val="24"/>
              </w:rPr>
            </w:pPr>
            <w:r w:rsidRPr="000E1567">
              <w:rPr>
                <w:b/>
                <w:bCs/>
                <w:noProof/>
                <w:color w:val="000000" w:themeColor="text1"/>
                <w:sz w:val="24"/>
                <w:szCs w:val="24"/>
              </w:rPr>
              <w:t xml:space="preserve">Tổng </w:t>
            </w:r>
            <w:r w:rsidRPr="000E1567">
              <w:rPr>
                <w:b/>
                <w:bCs/>
                <w:noProof/>
                <w:color w:val="000000" w:themeColor="text1"/>
                <w:sz w:val="24"/>
                <w:szCs w:val="24"/>
              </w:rPr>
              <w:lastRenderedPageBreak/>
              <w:t>cộng</w:t>
            </w:r>
          </w:p>
        </w:tc>
        <w:tc>
          <w:tcPr>
            <w:tcW w:w="992" w:type="dxa"/>
            <w:vAlign w:val="center"/>
          </w:tcPr>
          <w:p w14:paraId="1BBB19FB" w14:textId="29148593" w:rsidR="00D60A2C" w:rsidRPr="000E1567" w:rsidRDefault="004732F6" w:rsidP="00D60A2C">
            <w:pPr>
              <w:widowControl w:val="0"/>
              <w:spacing w:before="120" w:after="120"/>
              <w:jc w:val="center"/>
              <w:rPr>
                <w:b/>
                <w:bCs/>
                <w:noProof/>
                <w:color w:val="auto"/>
                <w:sz w:val="24"/>
                <w:szCs w:val="24"/>
              </w:rPr>
            </w:pPr>
            <w:r>
              <w:rPr>
                <w:b/>
                <w:bCs/>
                <w:noProof/>
                <w:color w:val="auto"/>
                <w:sz w:val="24"/>
                <w:szCs w:val="24"/>
              </w:rPr>
              <w:lastRenderedPageBreak/>
              <w:t>76</w:t>
            </w:r>
          </w:p>
        </w:tc>
        <w:tc>
          <w:tcPr>
            <w:tcW w:w="1701" w:type="dxa"/>
            <w:vAlign w:val="center"/>
          </w:tcPr>
          <w:p w14:paraId="73E06AC0" w14:textId="7B2664D3" w:rsidR="00D60A2C" w:rsidRPr="000E1567" w:rsidRDefault="004732F6" w:rsidP="00D60A2C">
            <w:pPr>
              <w:widowControl w:val="0"/>
              <w:spacing w:before="120" w:after="120"/>
              <w:jc w:val="center"/>
              <w:rPr>
                <w:b/>
                <w:bCs/>
                <w:noProof/>
                <w:color w:val="auto"/>
                <w:sz w:val="24"/>
                <w:szCs w:val="24"/>
              </w:rPr>
            </w:pPr>
            <w:r>
              <w:rPr>
                <w:b/>
                <w:bCs/>
                <w:noProof/>
                <w:color w:val="auto"/>
                <w:sz w:val="24"/>
                <w:szCs w:val="24"/>
              </w:rPr>
              <w:t>611.999.998</w:t>
            </w:r>
          </w:p>
        </w:tc>
        <w:tc>
          <w:tcPr>
            <w:tcW w:w="1560" w:type="dxa"/>
            <w:vAlign w:val="center"/>
          </w:tcPr>
          <w:p w14:paraId="036C4D47" w14:textId="3BD2AED6" w:rsidR="00D60A2C" w:rsidRPr="000E1567" w:rsidRDefault="004732F6" w:rsidP="00D60A2C">
            <w:pPr>
              <w:widowControl w:val="0"/>
              <w:spacing w:before="120" w:after="120"/>
              <w:jc w:val="center"/>
              <w:rPr>
                <w:b/>
                <w:bCs/>
                <w:noProof/>
                <w:color w:val="auto"/>
                <w:sz w:val="24"/>
                <w:szCs w:val="24"/>
              </w:rPr>
            </w:pPr>
            <w:r>
              <w:rPr>
                <w:b/>
                <w:bCs/>
                <w:noProof/>
                <w:color w:val="auto"/>
                <w:sz w:val="24"/>
                <w:szCs w:val="24"/>
              </w:rPr>
              <w:t>61.200.000</w:t>
            </w:r>
          </w:p>
        </w:tc>
        <w:tc>
          <w:tcPr>
            <w:tcW w:w="1559" w:type="dxa"/>
            <w:vAlign w:val="center"/>
          </w:tcPr>
          <w:p w14:paraId="6CDD4447" w14:textId="484C2714" w:rsidR="00D60A2C" w:rsidRPr="000E1567" w:rsidRDefault="004732F6" w:rsidP="00D60A2C">
            <w:pPr>
              <w:widowControl w:val="0"/>
              <w:spacing w:before="120" w:after="120"/>
              <w:jc w:val="center"/>
              <w:rPr>
                <w:b/>
                <w:bCs/>
                <w:noProof/>
                <w:color w:val="auto"/>
                <w:sz w:val="24"/>
                <w:szCs w:val="24"/>
              </w:rPr>
            </w:pPr>
            <w:r>
              <w:rPr>
                <w:b/>
                <w:bCs/>
                <w:noProof/>
                <w:color w:val="auto"/>
                <w:sz w:val="24"/>
                <w:szCs w:val="24"/>
              </w:rPr>
              <w:t>550.799.998</w:t>
            </w:r>
          </w:p>
        </w:tc>
        <w:tc>
          <w:tcPr>
            <w:tcW w:w="2977" w:type="dxa"/>
            <w:gridSpan w:val="2"/>
            <w:vAlign w:val="center"/>
          </w:tcPr>
          <w:p w14:paraId="7F914D6D" w14:textId="5F8D1241" w:rsidR="00D60A2C" w:rsidRPr="00344CA5" w:rsidRDefault="004732F6" w:rsidP="00D60A2C">
            <w:pPr>
              <w:widowControl w:val="0"/>
              <w:spacing w:before="120" w:after="120"/>
              <w:jc w:val="center"/>
              <w:rPr>
                <w:b/>
                <w:bCs/>
                <w:noProof/>
                <w:color w:val="FF0000"/>
                <w:sz w:val="24"/>
                <w:szCs w:val="24"/>
              </w:rPr>
            </w:pPr>
            <w:r>
              <w:rPr>
                <w:b/>
                <w:bCs/>
                <w:noProof/>
                <w:color w:val="auto"/>
                <w:sz w:val="24"/>
                <w:szCs w:val="24"/>
              </w:rPr>
              <w:t>550.799.998</w:t>
            </w:r>
          </w:p>
        </w:tc>
      </w:tr>
    </w:tbl>
    <w:p w14:paraId="0EC37591" w14:textId="493245B0" w:rsidR="004E5278" w:rsidRDefault="004E5278" w:rsidP="00312AB6">
      <w:pPr>
        <w:widowControl w:val="0"/>
        <w:spacing w:before="120" w:after="120"/>
        <w:ind w:firstLine="567"/>
        <w:rPr>
          <w:b/>
          <w:color w:val="000000" w:themeColor="text1"/>
        </w:rPr>
      </w:pPr>
      <w:r>
        <w:rPr>
          <w:b/>
          <w:color w:val="000000" w:themeColor="text1"/>
        </w:rPr>
        <w:t>2. Quảng Nam</w:t>
      </w:r>
    </w:p>
    <w:p w14:paraId="63EF56A6" w14:textId="3E5E69DC" w:rsidR="000523E4" w:rsidRPr="00665F6B" w:rsidRDefault="00754CD0" w:rsidP="000523E4">
      <w:pPr>
        <w:widowControl w:val="0"/>
        <w:spacing w:before="120" w:after="120"/>
        <w:ind w:firstLine="567"/>
        <w:rPr>
          <w:noProof/>
          <w:color w:val="000000" w:themeColor="text1"/>
        </w:rPr>
      </w:pPr>
      <w:r w:rsidRPr="00E10C86">
        <w:rPr>
          <w:noProof/>
          <w:color w:val="auto"/>
        </w:rPr>
        <w:t xml:space="preserve">Kể từ khi Nghị quyết số </w:t>
      </w:r>
      <w:r w:rsidR="009E2189" w:rsidRPr="009E2189">
        <w:rPr>
          <w:noProof/>
          <w:color w:val="auto"/>
        </w:rPr>
        <w:t>07/2022/NQ-HĐND ngày 21/4/2022 của HĐND tỉnh Quảng Nam quy định mức thu, chế độ thu, nộp, quản lý và sử dụng phí thẩm định cấp, cấp lại, điều chỉnh giấy phép môi trường trên địa bàn tỉnh Quảng Nam</w:t>
      </w:r>
      <w:r w:rsidR="009E2189">
        <w:rPr>
          <w:noProof/>
          <w:color w:val="auto"/>
        </w:rPr>
        <w:t xml:space="preserve"> </w:t>
      </w:r>
      <w:r w:rsidRPr="00E10C86">
        <w:rPr>
          <w:noProof/>
          <w:color w:val="auto"/>
        </w:rPr>
        <w:t xml:space="preserve">có hiệu lực thi hành từ ngày </w:t>
      </w:r>
      <w:r w:rsidR="00C504A0">
        <w:rPr>
          <w:noProof/>
          <w:color w:val="auto"/>
        </w:rPr>
        <w:t>01/6/2022</w:t>
      </w:r>
      <w:r w:rsidR="00793C99">
        <w:rPr>
          <w:noProof/>
          <w:color w:val="auto"/>
        </w:rPr>
        <w:t xml:space="preserve"> đến ngày 21/7/2024</w:t>
      </w:r>
      <w:r w:rsidRPr="00E10C86">
        <w:rPr>
          <w:noProof/>
          <w:color w:val="auto"/>
        </w:rPr>
        <w:t xml:space="preserve">, Chi cục Bảo vệ môi trường tỉnh Quảng Nam đã thực hiện thu phí thẩm định </w:t>
      </w:r>
      <w:r w:rsidR="00732A33">
        <w:rPr>
          <w:noProof/>
          <w:color w:val="auto"/>
        </w:rPr>
        <w:t>cấp, cấp lại, điều chỉnh giấy phép môi trường</w:t>
      </w:r>
      <w:r w:rsidRPr="00E10C86">
        <w:rPr>
          <w:noProof/>
          <w:color w:val="auto"/>
        </w:rPr>
        <w:t xml:space="preserve"> đối với </w:t>
      </w:r>
      <w:r w:rsidR="002351E8">
        <w:rPr>
          <w:b/>
          <w:bCs/>
          <w:noProof/>
          <w:color w:val="auto"/>
        </w:rPr>
        <w:t>128</w:t>
      </w:r>
      <w:r w:rsidRPr="00E10C86">
        <w:rPr>
          <w:b/>
          <w:noProof/>
          <w:color w:val="auto"/>
        </w:rPr>
        <w:t xml:space="preserve"> hồ sơ</w:t>
      </w:r>
      <w:r w:rsidRPr="00E10C86">
        <w:rPr>
          <w:noProof/>
          <w:color w:val="auto"/>
        </w:rPr>
        <w:t xml:space="preserve"> với tổng số phí thu được là</w:t>
      </w:r>
      <w:r w:rsidRPr="00754CD0">
        <w:rPr>
          <w:noProof/>
          <w:color w:val="auto"/>
        </w:rPr>
        <w:t xml:space="preserve"> </w:t>
      </w:r>
      <w:r w:rsidR="002351E8" w:rsidRPr="00F9791E">
        <w:rPr>
          <w:b/>
          <w:bCs/>
          <w:noProof/>
          <w:color w:val="auto"/>
        </w:rPr>
        <w:t>1.249.600.000</w:t>
      </w:r>
      <w:r w:rsidR="002351E8" w:rsidRPr="00E10C86">
        <w:rPr>
          <w:b/>
          <w:noProof/>
          <w:color w:val="auto"/>
        </w:rPr>
        <w:t xml:space="preserve"> đồng</w:t>
      </w:r>
      <w:r w:rsidRPr="00E10C86">
        <w:rPr>
          <w:noProof/>
          <w:color w:val="auto"/>
        </w:rPr>
        <w:t>, trong đó số tiền nộp ngân sách nhà nước (10%) là</w:t>
      </w:r>
      <w:r w:rsidRPr="00E10C86">
        <w:rPr>
          <w:b/>
          <w:bCs/>
          <w:noProof/>
          <w:color w:val="auto"/>
        </w:rPr>
        <w:t xml:space="preserve">: </w:t>
      </w:r>
      <w:r w:rsidR="00F9791E" w:rsidRPr="00F9791E">
        <w:rPr>
          <w:b/>
          <w:bCs/>
          <w:noProof/>
          <w:color w:val="auto"/>
        </w:rPr>
        <w:t>124.960.000</w:t>
      </w:r>
      <w:r w:rsidR="00F9791E" w:rsidRPr="00E10C86">
        <w:rPr>
          <w:b/>
          <w:bCs/>
          <w:noProof/>
          <w:color w:val="auto"/>
        </w:rPr>
        <w:t xml:space="preserve"> đồng</w:t>
      </w:r>
      <w:r w:rsidRPr="00E10C86">
        <w:rPr>
          <w:noProof/>
          <w:color w:val="auto"/>
        </w:rPr>
        <w:t xml:space="preserve">; đơn vị thu phí được để lại 90% số tiền phí thu được là: </w:t>
      </w:r>
      <w:r w:rsidR="00F9791E" w:rsidRPr="00EC5B0C">
        <w:rPr>
          <w:b/>
          <w:bCs/>
          <w:noProof/>
          <w:color w:val="auto"/>
        </w:rPr>
        <w:t xml:space="preserve">1.124.640.000 </w:t>
      </w:r>
      <w:r w:rsidR="00F9791E" w:rsidRPr="00E10C86">
        <w:rPr>
          <w:b/>
          <w:bCs/>
          <w:noProof/>
          <w:color w:val="auto"/>
        </w:rPr>
        <w:t>đồng</w:t>
      </w:r>
      <w:r w:rsidRPr="00E10C86">
        <w:rPr>
          <w:noProof/>
          <w:color w:val="auto"/>
        </w:rPr>
        <w:t>, cụ thể như sau:</w:t>
      </w:r>
    </w:p>
    <w:p w14:paraId="6FDC1118" w14:textId="77777777" w:rsidR="000523E4" w:rsidRPr="00665F6B" w:rsidRDefault="000523E4" w:rsidP="000523E4">
      <w:pPr>
        <w:widowControl w:val="0"/>
        <w:spacing w:before="120" w:after="120"/>
        <w:ind w:firstLine="567"/>
        <w:jc w:val="right"/>
        <w:rPr>
          <w:noProof/>
          <w:color w:val="000000" w:themeColor="text1"/>
          <w:sz w:val="26"/>
          <w:szCs w:val="26"/>
        </w:rPr>
      </w:pPr>
      <w:r w:rsidRPr="00665F6B">
        <w:rPr>
          <w:i/>
          <w:noProof/>
          <w:color w:val="000000" w:themeColor="text1"/>
          <w:sz w:val="26"/>
          <w:szCs w:val="26"/>
        </w:rPr>
        <w:t>Đơn vị tính: đồng</w:t>
      </w:r>
    </w:p>
    <w:tbl>
      <w:tblPr>
        <w:tblStyle w:val="TableGrid"/>
        <w:tblW w:w="9952" w:type="dxa"/>
        <w:tblInd w:w="-318" w:type="dxa"/>
        <w:tblLayout w:type="fixed"/>
        <w:tblLook w:val="04A0" w:firstRow="1" w:lastRow="0" w:firstColumn="1" w:lastColumn="0" w:noHBand="0" w:noVBand="1"/>
      </w:tblPr>
      <w:tblGrid>
        <w:gridCol w:w="880"/>
        <w:gridCol w:w="993"/>
        <w:gridCol w:w="1559"/>
        <w:gridCol w:w="1559"/>
        <w:gridCol w:w="1701"/>
        <w:gridCol w:w="1701"/>
        <w:gridCol w:w="1559"/>
      </w:tblGrid>
      <w:tr w:rsidR="00EC5B0C" w:rsidRPr="00E10C86" w14:paraId="111C593A" w14:textId="77777777" w:rsidTr="00EC5B0C">
        <w:trPr>
          <w:trHeight w:val="661"/>
        </w:trPr>
        <w:tc>
          <w:tcPr>
            <w:tcW w:w="880" w:type="dxa"/>
            <w:vMerge w:val="restart"/>
            <w:vAlign w:val="center"/>
          </w:tcPr>
          <w:p w14:paraId="4F82A27B" w14:textId="77777777" w:rsidR="00EC5B0C" w:rsidRPr="00E10C86" w:rsidRDefault="00EC5B0C" w:rsidP="008E5A85">
            <w:pPr>
              <w:widowControl w:val="0"/>
              <w:spacing w:before="120" w:after="120"/>
              <w:jc w:val="center"/>
              <w:rPr>
                <w:b/>
                <w:noProof/>
                <w:color w:val="auto"/>
                <w:sz w:val="24"/>
                <w:szCs w:val="24"/>
              </w:rPr>
            </w:pPr>
            <w:r w:rsidRPr="00E10C86">
              <w:rPr>
                <w:b/>
                <w:noProof/>
                <w:color w:val="auto"/>
                <w:sz w:val="24"/>
                <w:szCs w:val="24"/>
              </w:rPr>
              <w:t>Năm</w:t>
            </w:r>
          </w:p>
        </w:tc>
        <w:tc>
          <w:tcPr>
            <w:tcW w:w="993" w:type="dxa"/>
            <w:vMerge w:val="restart"/>
            <w:vAlign w:val="center"/>
          </w:tcPr>
          <w:p w14:paraId="61A018C8" w14:textId="77777777" w:rsidR="00EC5B0C" w:rsidRPr="00E10C86" w:rsidRDefault="00EC5B0C" w:rsidP="008E5A85">
            <w:pPr>
              <w:widowControl w:val="0"/>
              <w:spacing w:before="120" w:after="120"/>
              <w:jc w:val="center"/>
              <w:rPr>
                <w:b/>
                <w:noProof/>
                <w:color w:val="auto"/>
                <w:sz w:val="24"/>
                <w:szCs w:val="24"/>
              </w:rPr>
            </w:pPr>
            <w:r w:rsidRPr="00E10C86">
              <w:rPr>
                <w:b/>
                <w:noProof/>
                <w:color w:val="auto"/>
                <w:sz w:val="24"/>
                <w:szCs w:val="24"/>
              </w:rPr>
              <w:t>Số lượt hồ sơ</w:t>
            </w:r>
          </w:p>
        </w:tc>
        <w:tc>
          <w:tcPr>
            <w:tcW w:w="1559" w:type="dxa"/>
            <w:vMerge w:val="restart"/>
            <w:vAlign w:val="center"/>
          </w:tcPr>
          <w:p w14:paraId="55E3912A" w14:textId="77777777" w:rsidR="00EC5B0C" w:rsidRPr="00E10C86" w:rsidRDefault="00EC5B0C" w:rsidP="008E5A85">
            <w:pPr>
              <w:widowControl w:val="0"/>
              <w:spacing w:before="120" w:after="120"/>
              <w:jc w:val="center"/>
              <w:rPr>
                <w:b/>
                <w:noProof/>
                <w:color w:val="auto"/>
                <w:sz w:val="24"/>
                <w:szCs w:val="24"/>
              </w:rPr>
            </w:pPr>
            <w:r w:rsidRPr="00E10C86">
              <w:rPr>
                <w:b/>
                <w:noProof/>
                <w:color w:val="auto"/>
                <w:sz w:val="24"/>
                <w:szCs w:val="24"/>
              </w:rPr>
              <w:t>Tổng số phí thu được</w:t>
            </w:r>
          </w:p>
        </w:tc>
        <w:tc>
          <w:tcPr>
            <w:tcW w:w="1559" w:type="dxa"/>
            <w:vMerge w:val="restart"/>
            <w:vAlign w:val="center"/>
          </w:tcPr>
          <w:p w14:paraId="1644D04D" w14:textId="77777777" w:rsidR="00EC5B0C" w:rsidRPr="00E10C86" w:rsidRDefault="00EC5B0C" w:rsidP="008E5A85">
            <w:pPr>
              <w:widowControl w:val="0"/>
              <w:spacing w:before="120" w:after="120"/>
              <w:jc w:val="center"/>
              <w:rPr>
                <w:b/>
                <w:noProof/>
                <w:color w:val="auto"/>
                <w:sz w:val="24"/>
                <w:szCs w:val="24"/>
              </w:rPr>
            </w:pPr>
            <w:r w:rsidRPr="00E10C86">
              <w:rPr>
                <w:b/>
                <w:noProof/>
                <w:color w:val="auto"/>
                <w:sz w:val="24"/>
                <w:szCs w:val="24"/>
              </w:rPr>
              <w:t>Số tiền nộp NSNN</w:t>
            </w:r>
          </w:p>
        </w:tc>
        <w:tc>
          <w:tcPr>
            <w:tcW w:w="1701" w:type="dxa"/>
            <w:vMerge w:val="restart"/>
            <w:vAlign w:val="center"/>
          </w:tcPr>
          <w:p w14:paraId="68F7DDDB" w14:textId="77777777" w:rsidR="00EC5B0C" w:rsidRPr="00E10C86" w:rsidRDefault="00EC5B0C" w:rsidP="008E5A85">
            <w:pPr>
              <w:widowControl w:val="0"/>
              <w:spacing w:before="120" w:after="120"/>
              <w:jc w:val="center"/>
              <w:rPr>
                <w:b/>
                <w:noProof/>
                <w:color w:val="auto"/>
                <w:sz w:val="24"/>
                <w:szCs w:val="24"/>
              </w:rPr>
            </w:pPr>
            <w:r w:rsidRPr="00E10C86">
              <w:rPr>
                <w:b/>
                <w:noProof/>
                <w:color w:val="auto"/>
                <w:sz w:val="24"/>
                <w:szCs w:val="24"/>
              </w:rPr>
              <w:t>Số tiền được trích để lại</w:t>
            </w:r>
          </w:p>
        </w:tc>
        <w:tc>
          <w:tcPr>
            <w:tcW w:w="3260" w:type="dxa"/>
            <w:gridSpan w:val="2"/>
            <w:vAlign w:val="center"/>
          </w:tcPr>
          <w:p w14:paraId="08070A21" w14:textId="77777777" w:rsidR="00EC5B0C" w:rsidRPr="00E10C86" w:rsidRDefault="00EC5B0C" w:rsidP="008E5A85">
            <w:pPr>
              <w:widowControl w:val="0"/>
              <w:spacing w:before="120" w:after="120"/>
              <w:jc w:val="center"/>
              <w:rPr>
                <w:b/>
                <w:noProof/>
                <w:color w:val="auto"/>
                <w:sz w:val="24"/>
                <w:szCs w:val="24"/>
              </w:rPr>
            </w:pPr>
            <w:r w:rsidRPr="00E10C86">
              <w:rPr>
                <w:b/>
                <w:noProof/>
                <w:color w:val="auto"/>
                <w:sz w:val="24"/>
                <w:szCs w:val="24"/>
              </w:rPr>
              <w:t>Số tiền chi từ số tiền được trích để lại</w:t>
            </w:r>
          </w:p>
        </w:tc>
      </w:tr>
      <w:tr w:rsidR="009932C4" w:rsidRPr="00E10C86" w14:paraId="4AC6463D" w14:textId="77777777" w:rsidTr="009932C4">
        <w:trPr>
          <w:trHeight w:val="310"/>
        </w:trPr>
        <w:tc>
          <w:tcPr>
            <w:tcW w:w="880" w:type="dxa"/>
            <w:vMerge/>
            <w:vAlign w:val="center"/>
          </w:tcPr>
          <w:p w14:paraId="0797B341" w14:textId="77777777" w:rsidR="009932C4" w:rsidRPr="00E10C86" w:rsidRDefault="009932C4" w:rsidP="009932C4">
            <w:pPr>
              <w:widowControl w:val="0"/>
              <w:spacing w:before="120" w:after="120"/>
              <w:jc w:val="center"/>
              <w:rPr>
                <w:noProof/>
                <w:color w:val="auto"/>
                <w:sz w:val="24"/>
                <w:szCs w:val="24"/>
                <w:highlight w:val="yellow"/>
              </w:rPr>
            </w:pPr>
          </w:p>
        </w:tc>
        <w:tc>
          <w:tcPr>
            <w:tcW w:w="993" w:type="dxa"/>
            <w:vMerge/>
            <w:vAlign w:val="center"/>
          </w:tcPr>
          <w:p w14:paraId="61C48C65" w14:textId="77777777" w:rsidR="009932C4" w:rsidRPr="00EC5B0C" w:rsidRDefault="009932C4" w:rsidP="009932C4">
            <w:pPr>
              <w:widowControl w:val="0"/>
              <w:spacing w:before="120" w:after="120"/>
              <w:jc w:val="center"/>
              <w:rPr>
                <w:noProof/>
                <w:color w:val="auto"/>
                <w:sz w:val="24"/>
                <w:szCs w:val="24"/>
              </w:rPr>
            </w:pPr>
          </w:p>
        </w:tc>
        <w:tc>
          <w:tcPr>
            <w:tcW w:w="1559" w:type="dxa"/>
            <w:vMerge/>
            <w:vAlign w:val="center"/>
          </w:tcPr>
          <w:p w14:paraId="4C4AD8FB" w14:textId="77777777" w:rsidR="009932C4" w:rsidRPr="00EC5B0C" w:rsidRDefault="009932C4" w:rsidP="009932C4">
            <w:pPr>
              <w:widowControl w:val="0"/>
              <w:spacing w:before="120" w:after="120"/>
              <w:jc w:val="right"/>
              <w:rPr>
                <w:noProof/>
                <w:color w:val="auto"/>
                <w:sz w:val="24"/>
                <w:szCs w:val="24"/>
              </w:rPr>
            </w:pPr>
          </w:p>
        </w:tc>
        <w:tc>
          <w:tcPr>
            <w:tcW w:w="1559" w:type="dxa"/>
            <w:vMerge/>
            <w:vAlign w:val="center"/>
          </w:tcPr>
          <w:p w14:paraId="6E72EA4D" w14:textId="77777777" w:rsidR="009932C4" w:rsidRPr="00EC5B0C" w:rsidRDefault="009932C4" w:rsidP="009932C4">
            <w:pPr>
              <w:widowControl w:val="0"/>
              <w:spacing w:before="120" w:after="120"/>
              <w:jc w:val="right"/>
              <w:rPr>
                <w:noProof/>
                <w:color w:val="auto"/>
                <w:sz w:val="24"/>
                <w:szCs w:val="24"/>
              </w:rPr>
            </w:pPr>
          </w:p>
        </w:tc>
        <w:tc>
          <w:tcPr>
            <w:tcW w:w="1701" w:type="dxa"/>
            <w:vMerge/>
            <w:vAlign w:val="center"/>
          </w:tcPr>
          <w:p w14:paraId="49937300" w14:textId="77777777" w:rsidR="009932C4" w:rsidRPr="00EC5B0C" w:rsidRDefault="009932C4" w:rsidP="009932C4">
            <w:pPr>
              <w:widowControl w:val="0"/>
              <w:spacing w:before="120" w:after="120"/>
              <w:jc w:val="right"/>
              <w:rPr>
                <w:noProof/>
                <w:color w:val="auto"/>
                <w:sz w:val="24"/>
                <w:szCs w:val="24"/>
              </w:rPr>
            </w:pPr>
          </w:p>
        </w:tc>
        <w:tc>
          <w:tcPr>
            <w:tcW w:w="1701" w:type="dxa"/>
          </w:tcPr>
          <w:p w14:paraId="38AF978C" w14:textId="008331EF" w:rsidR="009932C4" w:rsidRPr="00E10C86" w:rsidRDefault="009932C4" w:rsidP="009932C4">
            <w:pPr>
              <w:widowControl w:val="0"/>
              <w:spacing w:before="120" w:after="120"/>
              <w:jc w:val="center"/>
              <w:rPr>
                <w:noProof/>
                <w:color w:val="auto"/>
                <w:sz w:val="24"/>
                <w:szCs w:val="24"/>
              </w:rPr>
            </w:pPr>
            <w:r w:rsidRPr="00EC5B0C">
              <w:rPr>
                <w:noProof/>
                <w:color w:val="auto"/>
                <w:sz w:val="24"/>
                <w:szCs w:val="24"/>
              </w:rPr>
              <w:t>Chi phục vụ công tác thẩm định</w:t>
            </w:r>
          </w:p>
        </w:tc>
        <w:tc>
          <w:tcPr>
            <w:tcW w:w="1559" w:type="dxa"/>
            <w:vAlign w:val="center"/>
          </w:tcPr>
          <w:p w14:paraId="4355B9D0" w14:textId="69DB54CA" w:rsidR="009932C4" w:rsidRPr="009932C4" w:rsidRDefault="009932C4" w:rsidP="009932C4">
            <w:pPr>
              <w:widowControl w:val="0"/>
              <w:spacing w:before="120" w:after="120"/>
              <w:jc w:val="center"/>
              <w:rPr>
                <w:noProof/>
                <w:color w:val="auto"/>
                <w:sz w:val="24"/>
                <w:szCs w:val="24"/>
              </w:rPr>
            </w:pPr>
            <w:r w:rsidRPr="009932C4">
              <w:rPr>
                <w:noProof/>
                <w:sz w:val="24"/>
                <w:szCs w:val="24"/>
              </w:rPr>
              <w:t>CCTL</w:t>
            </w:r>
          </w:p>
        </w:tc>
      </w:tr>
      <w:tr w:rsidR="009932C4" w:rsidRPr="00E10C86" w14:paraId="06213B6A" w14:textId="77777777" w:rsidTr="009932C4">
        <w:trPr>
          <w:trHeight w:val="310"/>
        </w:trPr>
        <w:tc>
          <w:tcPr>
            <w:tcW w:w="880" w:type="dxa"/>
            <w:vAlign w:val="center"/>
          </w:tcPr>
          <w:p w14:paraId="33817EA8" w14:textId="1726F8AC" w:rsidR="009932C4" w:rsidRPr="00E10C86" w:rsidRDefault="009932C4" w:rsidP="009932C4">
            <w:pPr>
              <w:widowControl w:val="0"/>
              <w:spacing w:before="120" w:after="120"/>
              <w:jc w:val="center"/>
              <w:rPr>
                <w:noProof/>
                <w:color w:val="auto"/>
                <w:sz w:val="24"/>
                <w:szCs w:val="24"/>
                <w:lang w:val="en-US"/>
              </w:rPr>
            </w:pPr>
            <w:r w:rsidRPr="00E10C86">
              <w:rPr>
                <w:noProof/>
                <w:color w:val="auto"/>
                <w:sz w:val="24"/>
                <w:szCs w:val="24"/>
              </w:rPr>
              <w:t>202</w:t>
            </w:r>
            <w:r w:rsidRPr="00E10C86">
              <w:rPr>
                <w:noProof/>
                <w:color w:val="auto"/>
                <w:sz w:val="24"/>
                <w:szCs w:val="24"/>
                <w:lang w:val="en-US"/>
              </w:rPr>
              <w:t>2</w:t>
            </w:r>
            <w:r>
              <w:rPr>
                <w:rStyle w:val="FootnoteReference"/>
                <w:noProof/>
                <w:color w:val="auto"/>
                <w:sz w:val="24"/>
                <w:szCs w:val="24"/>
                <w:lang w:val="en-US"/>
              </w:rPr>
              <w:footnoteReference w:id="3"/>
            </w:r>
          </w:p>
        </w:tc>
        <w:tc>
          <w:tcPr>
            <w:tcW w:w="993" w:type="dxa"/>
            <w:vAlign w:val="center"/>
          </w:tcPr>
          <w:p w14:paraId="09E4CD79" w14:textId="77777777" w:rsidR="009932C4" w:rsidRPr="00E10C86" w:rsidRDefault="009932C4" w:rsidP="009932C4">
            <w:pPr>
              <w:widowControl w:val="0"/>
              <w:spacing w:before="120" w:after="120"/>
              <w:jc w:val="center"/>
              <w:rPr>
                <w:noProof/>
                <w:color w:val="auto"/>
                <w:sz w:val="24"/>
                <w:szCs w:val="24"/>
                <w:lang w:val="en-US"/>
              </w:rPr>
            </w:pPr>
            <w:r w:rsidRPr="00E10C86">
              <w:rPr>
                <w:noProof/>
                <w:color w:val="auto"/>
                <w:sz w:val="24"/>
                <w:szCs w:val="24"/>
                <w:lang w:val="en-US"/>
              </w:rPr>
              <w:t>58</w:t>
            </w:r>
          </w:p>
        </w:tc>
        <w:tc>
          <w:tcPr>
            <w:tcW w:w="1559" w:type="dxa"/>
            <w:vAlign w:val="center"/>
          </w:tcPr>
          <w:p w14:paraId="29AB57A7" w14:textId="77777777" w:rsidR="009932C4" w:rsidRPr="00E10C86" w:rsidRDefault="009932C4" w:rsidP="009932C4">
            <w:pPr>
              <w:widowControl w:val="0"/>
              <w:spacing w:before="120" w:after="120"/>
              <w:jc w:val="center"/>
              <w:rPr>
                <w:noProof/>
                <w:color w:val="auto"/>
                <w:sz w:val="24"/>
                <w:szCs w:val="24"/>
                <w:lang w:val="en-US"/>
              </w:rPr>
            </w:pPr>
            <w:r w:rsidRPr="00E10C86">
              <w:rPr>
                <w:noProof/>
                <w:color w:val="auto"/>
                <w:sz w:val="24"/>
                <w:szCs w:val="24"/>
                <w:lang w:val="en-US"/>
              </w:rPr>
              <w:t>612.000.000</w:t>
            </w:r>
          </w:p>
        </w:tc>
        <w:tc>
          <w:tcPr>
            <w:tcW w:w="1559" w:type="dxa"/>
            <w:vAlign w:val="center"/>
          </w:tcPr>
          <w:p w14:paraId="2D4E5A17" w14:textId="77777777" w:rsidR="009932C4" w:rsidRPr="00E10C86" w:rsidRDefault="009932C4" w:rsidP="009932C4">
            <w:pPr>
              <w:widowControl w:val="0"/>
              <w:spacing w:before="120" w:after="120"/>
              <w:jc w:val="center"/>
              <w:rPr>
                <w:noProof/>
                <w:color w:val="auto"/>
                <w:sz w:val="24"/>
                <w:szCs w:val="24"/>
                <w:lang w:val="en-US"/>
              </w:rPr>
            </w:pPr>
            <w:r w:rsidRPr="00E10C86">
              <w:rPr>
                <w:noProof/>
                <w:color w:val="auto"/>
                <w:sz w:val="24"/>
                <w:szCs w:val="24"/>
                <w:lang w:val="en-US"/>
              </w:rPr>
              <w:t>61.200.000</w:t>
            </w:r>
          </w:p>
        </w:tc>
        <w:tc>
          <w:tcPr>
            <w:tcW w:w="1701" w:type="dxa"/>
            <w:vAlign w:val="center"/>
          </w:tcPr>
          <w:p w14:paraId="31E2F594" w14:textId="77777777" w:rsidR="009932C4" w:rsidRPr="00E10C86" w:rsidRDefault="009932C4" w:rsidP="009932C4">
            <w:pPr>
              <w:widowControl w:val="0"/>
              <w:spacing w:before="120" w:after="120"/>
              <w:jc w:val="center"/>
              <w:rPr>
                <w:noProof/>
                <w:color w:val="auto"/>
                <w:sz w:val="24"/>
                <w:szCs w:val="24"/>
                <w:lang w:val="en-US"/>
              </w:rPr>
            </w:pPr>
            <w:r w:rsidRPr="00E10C86">
              <w:rPr>
                <w:noProof/>
                <w:color w:val="auto"/>
                <w:sz w:val="24"/>
                <w:szCs w:val="24"/>
                <w:lang w:val="en-US"/>
              </w:rPr>
              <w:t>550.800.000</w:t>
            </w:r>
          </w:p>
        </w:tc>
        <w:tc>
          <w:tcPr>
            <w:tcW w:w="1701" w:type="dxa"/>
          </w:tcPr>
          <w:p w14:paraId="6AF404B5" w14:textId="01A6DB54" w:rsidR="009932C4" w:rsidRPr="00E10C86" w:rsidRDefault="009932C4" w:rsidP="009932C4">
            <w:pPr>
              <w:widowControl w:val="0"/>
              <w:spacing w:before="120" w:after="120"/>
              <w:jc w:val="center"/>
              <w:rPr>
                <w:noProof/>
                <w:color w:val="auto"/>
                <w:sz w:val="24"/>
                <w:szCs w:val="24"/>
                <w:lang w:val="en-US"/>
              </w:rPr>
            </w:pPr>
            <w:r w:rsidRPr="00E10C86">
              <w:rPr>
                <w:noProof/>
                <w:color w:val="auto"/>
                <w:sz w:val="24"/>
                <w:szCs w:val="24"/>
                <w:lang w:val="en-US"/>
              </w:rPr>
              <w:t>330.480.000</w:t>
            </w:r>
          </w:p>
        </w:tc>
        <w:tc>
          <w:tcPr>
            <w:tcW w:w="1559" w:type="dxa"/>
            <w:vAlign w:val="center"/>
          </w:tcPr>
          <w:p w14:paraId="2E657AB5" w14:textId="1E50BA14" w:rsidR="009932C4" w:rsidRPr="009932C4" w:rsidRDefault="009932C4" w:rsidP="009932C4">
            <w:pPr>
              <w:widowControl w:val="0"/>
              <w:spacing w:before="120" w:after="120"/>
              <w:jc w:val="center"/>
              <w:rPr>
                <w:noProof/>
                <w:color w:val="auto"/>
                <w:sz w:val="24"/>
                <w:szCs w:val="24"/>
                <w:lang w:val="en-US"/>
              </w:rPr>
            </w:pPr>
            <w:r w:rsidRPr="009932C4">
              <w:rPr>
                <w:noProof/>
                <w:sz w:val="24"/>
                <w:szCs w:val="24"/>
              </w:rPr>
              <w:t>220.320.000</w:t>
            </w:r>
          </w:p>
        </w:tc>
      </w:tr>
      <w:tr w:rsidR="009932C4" w:rsidRPr="00E10C86" w14:paraId="5EC67E78" w14:textId="77777777" w:rsidTr="009932C4">
        <w:trPr>
          <w:trHeight w:val="494"/>
        </w:trPr>
        <w:tc>
          <w:tcPr>
            <w:tcW w:w="880" w:type="dxa"/>
            <w:vAlign w:val="center"/>
          </w:tcPr>
          <w:p w14:paraId="43F0F3D3" w14:textId="77777777" w:rsidR="009932C4" w:rsidRPr="00E10C86" w:rsidRDefault="009932C4" w:rsidP="009932C4">
            <w:pPr>
              <w:widowControl w:val="0"/>
              <w:spacing w:before="120" w:after="120"/>
              <w:jc w:val="center"/>
              <w:rPr>
                <w:noProof/>
                <w:color w:val="auto"/>
                <w:sz w:val="24"/>
                <w:szCs w:val="24"/>
                <w:lang w:val="en-US"/>
              </w:rPr>
            </w:pPr>
            <w:r w:rsidRPr="00E10C86">
              <w:rPr>
                <w:noProof/>
                <w:color w:val="auto"/>
                <w:sz w:val="24"/>
                <w:szCs w:val="24"/>
              </w:rPr>
              <w:t>202</w:t>
            </w:r>
            <w:r w:rsidRPr="00E10C86">
              <w:rPr>
                <w:noProof/>
                <w:color w:val="auto"/>
                <w:sz w:val="24"/>
                <w:szCs w:val="24"/>
                <w:lang w:val="en-US"/>
              </w:rPr>
              <w:t>3</w:t>
            </w:r>
          </w:p>
        </w:tc>
        <w:tc>
          <w:tcPr>
            <w:tcW w:w="993" w:type="dxa"/>
            <w:vAlign w:val="center"/>
          </w:tcPr>
          <w:p w14:paraId="0DC6C6D6" w14:textId="77777777" w:rsidR="009932C4" w:rsidRPr="00E10C86" w:rsidRDefault="009932C4" w:rsidP="009932C4">
            <w:pPr>
              <w:widowControl w:val="0"/>
              <w:spacing w:before="120" w:after="120"/>
              <w:jc w:val="center"/>
              <w:rPr>
                <w:noProof/>
                <w:color w:val="auto"/>
                <w:sz w:val="24"/>
                <w:szCs w:val="24"/>
                <w:lang w:val="en-US"/>
              </w:rPr>
            </w:pPr>
            <w:r w:rsidRPr="00E10C86">
              <w:rPr>
                <w:noProof/>
                <w:color w:val="auto"/>
                <w:sz w:val="24"/>
                <w:szCs w:val="24"/>
                <w:lang w:val="en-US"/>
              </w:rPr>
              <w:t>51</w:t>
            </w:r>
          </w:p>
        </w:tc>
        <w:tc>
          <w:tcPr>
            <w:tcW w:w="1559" w:type="dxa"/>
            <w:vAlign w:val="center"/>
          </w:tcPr>
          <w:p w14:paraId="1DC6C9C6" w14:textId="77777777" w:rsidR="009932C4" w:rsidRPr="00E10C86" w:rsidRDefault="009932C4" w:rsidP="009932C4">
            <w:pPr>
              <w:widowControl w:val="0"/>
              <w:spacing w:before="120" w:after="120"/>
              <w:jc w:val="center"/>
              <w:rPr>
                <w:noProof/>
                <w:color w:val="auto"/>
                <w:sz w:val="24"/>
                <w:szCs w:val="24"/>
                <w:lang w:val="en-US"/>
              </w:rPr>
            </w:pPr>
            <w:r w:rsidRPr="00E10C86">
              <w:rPr>
                <w:noProof/>
                <w:color w:val="auto"/>
                <w:sz w:val="24"/>
                <w:szCs w:val="24"/>
                <w:lang w:val="en-US"/>
              </w:rPr>
              <w:t>484.000.000</w:t>
            </w:r>
          </w:p>
        </w:tc>
        <w:tc>
          <w:tcPr>
            <w:tcW w:w="1559" w:type="dxa"/>
            <w:vAlign w:val="center"/>
          </w:tcPr>
          <w:p w14:paraId="6E377616" w14:textId="77777777" w:rsidR="009932C4" w:rsidRPr="00E10C86" w:rsidRDefault="009932C4" w:rsidP="009932C4">
            <w:pPr>
              <w:widowControl w:val="0"/>
              <w:spacing w:before="120" w:after="120"/>
              <w:jc w:val="center"/>
              <w:rPr>
                <w:noProof/>
                <w:color w:val="auto"/>
                <w:sz w:val="24"/>
                <w:szCs w:val="24"/>
                <w:lang w:val="en-US"/>
              </w:rPr>
            </w:pPr>
            <w:r w:rsidRPr="00E10C86">
              <w:rPr>
                <w:noProof/>
                <w:color w:val="auto"/>
                <w:sz w:val="24"/>
                <w:szCs w:val="24"/>
                <w:lang w:val="en-US"/>
              </w:rPr>
              <w:t>48.400.000</w:t>
            </w:r>
          </w:p>
        </w:tc>
        <w:tc>
          <w:tcPr>
            <w:tcW w:w="1701" w:type="dxa"/>
            <w:vAlign w:val="center"/>
          </w:tcPr>
          <w:p w14:paraId="60BA1CEE" w14:textId="77777777" w:rsidR="009932C4" w:rsidRPr="00E10C86" w:rsidRDefault="009932C4" w:rsidP="009932C4">
            <w:pPr>
              <w:widowControl w:val="0"/>
              <w:spacing w:before="120" w:after="120"/>
              <w:jc w:val="center"/>
              <w:rPr>
                <w:noProof/>
                <w:color w:val="auto"/>
                <w:sz w:val="24"/>
                <w:szCs w:val="24"/>
                <w:lang w:val="en-US"/>
              </w:rPr>
            </w:pPr>
            <w:r w:rsidRPr="00E10C86">
              <w:rPr>
                <w:noProof/>
                <w:color w:val="auto"/>
                <w:sz w:val="24"/>
                <w:szCs w:val="24"/>
                <w:lang w:val="en-US"/>
              </w:rPr>
              <w:t>435.600.000</w:t>
            </w:r>
          </w:p>
        </w:tc>
        <w:tc>
          <w:tcPr>
            <w:tcW w:w="1701" w:type="dxa"/>
          </w:tcPr>
          <w:p w14:paraId="5EF4C8E0" w14:textId="16310B35" w:rsidR="009932C4" w:rsidRPr="00E10C86" w:rsidRDefault="009932C4" w:rsidP="009932C4">
            <w:pPr>
              <w:widowControl w:val="0"/>
              <w:spacing w:before="120" w:after="120"/>
              <w:jc w:val="center"/>
              <w:rPr>
                <w:noProof/>
                <w:color w:val="auto"/>
                <w:sz w:val="24"/>
                <w:szCs w:val="24"/>
                <w:lang w:val="en-US"/>
              </w:rPr>
            </w:pPr>
            <w:r w:rsidRPr="00E10C86">
              <w:rPr>
                <w:noProof/>
                <w:color w:val="auto"/>
                <w:sz w:val="24"/>
                <w:szCs w:val="24"/>
                <w:lang w:val="en-US"/>
              </w:rPr>
              <w:t>261.360.000</w:t>
            </w:r>
          </w:p>
        </w:tc>
        <w:tc>
          <w:tcPr>
            <w:tcW w:w="1559" w:type="dxa"/>
            <w:vAlign w:val="center"/>
          </w:tcPr>
          <w:p w14:paraId="6FCB2139" w14:textId="19FF4BF0" w:rsidR="009932C4" w:rsidRPr="009932C4" w:rsidRDefault="009932C4" w:rsidP="009932C4">
            <w:pPr>
              <w:widowControl w:val="0"/>
              <w:spacing w:before="120" w:after="120"/>
              <w:jc w:val="center"/>
              <w:rPr>
                <w:noProof/>
                <w:color w:val="auto"/>
                <w:sz w:val="24"/>
                <w:szCs w:val="24"/>
                <w:lang w:val="en-US"/>
              </w:rPr>
            </w:pPr>
            <w:r w:rsidRPr="009932C4">
              <w:rPr>
                <w:noProof/>
                <w:sz w:val="24"/>
                <w:szCs w:val="24"/>
              </w:rPr>
              <w:t>174.240.000</w:t>
            </w:r>
          </w:p>
        </w:tc>
      </w:tr>
      <w:tr w:rsidR="009932C4" w:rsidRPr="00E10C86" w14:paraId="33181382" w14:textId="77777777" w:rsidTr="009932C4">
        <w:trPr>
          <w:trHeight w:val="494"/>
        </w:trPr>
        <w:tc>
          <w:tcPr>
            <w:tcW w:w="880" w:type="dxa"/>
            <w:vMerge w:val="restart"/>
            <w:vAlign w:val="center"/>
          </w:tcPr>
          <w:p w14:paraId="7FEE97AF" w14:textId="77777777" w:rsidR="009932C4" w:rsidRPr="00E10C86" w:rsidRDefault="009932C4" w:rsidP="009932C4">
            <w:pPr>
              <w:widowControl w:val="0"/>
              <w:spacing w:before="120" w:after="120"/>
              <w:jc w:val="center"/>
              <w:rPr>
                <w:noProof/>
                <w:color w:val="auto"/>
                <w:sz w:val="24"/>
                <w:szCs w:val="24"/>
                <w:lang w:val="en-US"/>
              </w:rPr>
            </w:pPr>
            <w:r w:rsidRPr="00E10C86">
              <w:rPr>
                <w:noProof/>
                <w:color w:val="auto"/>
                <w:sz w:val="24"/>
                <w:szCs w:val="24"/>
                <w:lang w:val="en-US"/>
              </w:rPr>
              <w:t>2024</w:t>
            </w:r>
          </w:p>
        </w:tc>
        <w:tc>
          <w:tcPr>
            <w:tcW w:w="993" w:type="dxa"/>
            <w:vAlign w:val="center"/>
          </w:tcPr>
          <w:p w14:paraId="7F3E0975" w14:textId="77777777" w:rsidR="009932C4" w:rsidRPr="00E10C86" w:rsidRDefault="009932C4" w:rsidP="009932C4">
            <w:pPr>
              <w:widowControl w:val="0"/>
              <w:spacing w:before="120" w:after="120"/>
              <w:jc w:val="center"/>
              <w:rPr>
                <w:noProof/>
                <w:color w:val="auto"/>
                <w:sz w:val="24"/>
                <w:szCs w:val="24"/>
                <w:lang w:val="en-US"/>
              </w:rPr>
            </w:pPr>
            <w:r w:rsidRPr="00E10C86">
              <w:rPr>
                <w:noProof/>
                <w:color w:val="auto"/>
                <w:sz w:val="24"/>
                <w:szCs w:val="24"/>
                <w:lang w:val="en-US"/>
              </w:rPr>
              <w:t>19</w:t>
            </w:r>
          </w:p>
        </w:tc>
        <w:tc>
          <w:tcPr>
            <w:tcW w:w="1559" w:type="dxa"/>
            <w:vAlign w:val="center"/>
          </w:tcPr>
          <w:p w14:paraId="09FDDB7F" w14:textId="77777777" w:rsidR="009932C4" w:rsidRPr="00E10C86" w:rsidRDefault="009932C4" w:rsidP="009932C4">
            <w:pPr>
              <w:widowControl w:val="0"/>
              <w:spacing w:before="120" w:after="120"/>
              <w:jc w:val="center"/>
              <w:rPr>
                <w:noProof/>
                <w:color w:val="auto"/>
                <w:sz w:val="24"/>
                <w:szCs w:val="24"/>
                <w:lang w:val="en-US"/>
              </w:rPr>
            </w:pPr>
            <w:r w:rsidRPr="00E10C86">
              <w:rPr>
                <w:noProof/>
                <w:color w:val="auto"/>
                <w:sz w:val="24"/>
                <w:szCs w:val="24"/>
                <w:lang w:val="en-US"/>
              </w:rPr>
              <w:t>153.600.000</w:t>
            </w:r>
          </w:p>
        </w:tc>
        <w:tc>
          <w:tcPr>
            <w:tcW w:w="1559" w:type="dxa"/>
            <w:vAlign w:val="center"/>
          </w:tcPr>
          <w:p w14:paraId="6ADA52B4" w14:textId="77777777" w:rsidR="009932C4" w:rsidRPr="00E10C86" w:rsidRDefault="009932C4" w:rsidP="009932C4">
            <w:pPr>
              <w:widowControl w:val="0"/>
              <w:spacing w:before="120" w:after="120"/>
              <w:jc w:val="center"/>
              <w:rPr>
                <w:noProof/>
                <w:color w:val="auto"/>
                <w:sz w:val="24"/>
                <w:szCs w:val="24"/>
                <w:lang w:val="en-US"/>
              </w:rPr>
            </w:pPr>
            <w:r w:rsidRPr="00E10C86">
              <w:rPr>
                <w:noProof/>
                <w:color w:val="auto"/>
                <w:sz w:val="24"/>
                <w:szCs w:val="24"/>
                <w:lang w:val="en-US"/>
              </w:rPr>
              <w:t>15.360.000</w:t>
            </w:r>
          </w:p>
        </w:tc>
        <w:tc>
          <w:tcPr>
            <w:tcW w:w="1701" w:type="dxa"/>
            <w:vAlign w:val="center"/>
          </w:tcPr>
          <w:p w14:paraId="54A3ACBD" w14:textId="77777777" w:rsidR="009932C4" w:rsidRPr="00E10C86" w:rsidRDefault="009932C4" w:rsidP="009932C4">
            <w:pPr>
              <w:widowControl w:val="0"/>
              <w:spacing w:before="120" w:after="120"/>
              <w:jc w:val="center"/>
              <w:rPr>
                <w:noProof/>
                <w:color w:val="auto"/>
                <w:sz w:val="24"/>
                <w:szCs w:val="24"/>
                <w:lang w:val="en-US"/>
              </w:rPr>
            </w:pPr>
            <w:r w:rsidRPr="00E10C86">
              <w:rPr>
                <w:noProof/>
                <w:color w:val="auto"/>
                <w:sz w:val="24"/>
                <w:szCs w:val="24"/>
                <w:lang w:val="en-US"/>
              </w:rPr>
              <w:t>138.240.000</w:t>
            </w:r>
          </w:p>
        </w:tc>
        <w:tc>
          <w:tcPr>
            <w:tcW w:w="1701" w:type="dxa"/>
          </w:tcPr>
          <w:p w14:paraId="2626B77D" w14:textId="58E04BC2" w:rsidR="009932C4" w:rsidRPr="00E10C86" w:rsidRDefault="009932C4" w:rsidP="009932C4">
            <w:pPr>
              <w:widowControl w:val="0"/>
              <w:spacing w:before="120" w:after="120"/>
              <w:jc w:val="center"/>
              <w:rPr>
                <w:noProof/>
                <w:color w:val="auto"/>
                <w:sz w:val="24"/>
                <w:szCs w:val="24"/>
                <w:lang w:val="en-US"/>
              </w:rPr>
            </w:pPr>
            <w:r w:rsidRPr="00E10C86">
              <w:rPr>
                <w:noProof/>
                <w:color w:val="auto"/>
                <w:sz w:val="24"/>
                <w:szCs w:val="24"/>
                <w:lang w:val="en-US"/>
              </w:rPr>
              <w:t>82.944.000</w:t>
            </w:r>
          </w:p>
        </w:tc>
        <w:tc>
          <w:tcPr>
            <w:tcW w:w="1559" w:type="dxa"/>
            <w:vAlign w:val="center"/>
          </w:tcPr>
          <w:p w14:paraId="3659EE4F" w14:textId="7210F247" w:rsidR="009932C4" w:rsidRPr="009932C4" w:rsidRDefault="009932C4" w:rsidP="009932C4">
            <w:pPr>
              <w:widowControl w:val="0"/>
              <w:spacing w:before="120" w:after="120"/>
              <w:jc w:val="center"/>
              <w:rPr>
                <w:noProof/>
                <w:color w:val="auto"/>
                <w:sz w:val="24"/>
                <w:szCs w:val="24"/>
                <w:lang w:val="en-US"/>
              </w:rPr>
            </w:pPr>
            <w:r w:rsidRPr="009932C4">
              <w:rPr>
                <w:noProof/>
                <w:sz w:val="24"/>
                <w:szCs w:val="24"/>
              </w:rPr>
              <w:t>55.296.000</w:t>
            </w:r>
          </w:p>
        </w:tc>
      </w:tr>
      <w:tr w:rsidR="009932C4" w:rsidRPr="00E10C86" w14:paraId="01379BA4" w14:textId="77777777" w:rsidTr="00EC5B0C">
        <w:trPr>
          <w:trHeight w:val="494"/>
        </w:trPr>
        <w:tc>
          <w:tcPr>
            <w:tcW w:w="880" w:type="dxa"/>
            <w:vMerge/>
            <w:vAlign w:val="center"/>
          </w:tcPr>
          <w:p w14:paraId="3DB12EA7" w14:textId="77777777" w:rsidR="009932C4" w:rsidRPr="00E10C86" w:rsidRDefault="009932C4" w:rsidP="009932C4">
            <w:pPr>
              <w:widowControl w:val="0"/>
              <w:spacing w:before="120" w:after="120"/>
              <w:jc w:val="center"/>
              <w:rPr>
                <w:noProof/>
                <w:color w:val="auto"/>
                <w:sz w:val="24"/>
                <w:szCs w:val="24"/>
                <w:lang w:val="en-US"/>
              </w:rPr>
            </w:pPr>
          </w:p>
        </w:tc>
        <w:tc>
          <w:tcPr>
            <w:tcW w:w="993" w:type="dxa"/>
            <w:vAlign w:val="center"/>
          </w:tcPr>
          <w:p w14:paraId="5157A0FF" w14:textId="77777777" w:rsidR="009932C4" w:rsidRPr="00E10C86" w:rsidRDefault="009932C4" w:rsidP="009932C4">
            <w:pPr>
              <w:widowControl w:val="0"/>
              <w:spacing w:before="120" w:after="120"/>
              <w:jc w:val="center"/>
              <w:rPr>
                <w:noProof/>
                <w:color w:val="auto"/>
                <w:sz w:val="24"/>
                <w:szCs w:val="24"/>
                <w:lang w:val="en-US"/>
              </w:rPr>
            </w:pPr>
            <w:r w:rsidRPr="00E10C86">
              <w:rPr>
                <w:noProof/>
                <w:color w:val="auto"/>
                <w:sz w:val="24"/>
                <w:szCs w:val="24"/>
                <w:lang w:val="en-US"/>
              </w:rPr>
              <w:t>23</w:t>
            </w:r>
          </w:p>
        </w:tc>
        <w:tc>
          <w:tcPr>
            <w:tcW w:w="8079" w:type="dxa"/>
            <w:gridSpan w:val="5"/>
            <w:vAlign w:val="center"/>
          </w:tcPr>
          <w:p w14:paraId="29C838CB" w14:textId="77777777" w:rsidR="009932C4" w:rsidRPr="00E10C86" w:rsidRDefault="009932C4" w:rsidP="009932C4">
            <w:pPr>
              <w:widowControl w:val="0"/>
              <w:spacing w:before="120" w:after="120"/>
              <w:jc w:val="center"/>
              <w:rPr>
                <w:noProof/>
                <w:color w:val="auto"/>
                <w:sz w:val="24"/>
                <w:szCs w:val="24"/>
                <w:lang w:val="en-US"/>
              </w:rPr>
            </w:pPr>
            <w:r w:rsidRPr="00E10C86">
              <w:rPr>
                <w:noProof/>
                <w:color w:val="auto"/>
                <w:sz w:val="24"/>
                <w:szCs w:val="24"/>
                <w:lang w:val="en-US"/>
              </w:rPr>
              <w:t xml:space="preserve">Từ 22/7/2024 không thực hiện thu phí theo </w:t>
            </w:r>
            <w:r w:rsidRPr="00E10C86">
              <w:rPr>
                <w:color w:val="auto"/>
                <w:sz w:val="24"/>
                <w:szCs w:val="24"/>
              </w:rPr>
              <w:t xml:space="preserve">Nghị quyết số 18/2024/NQ-HĐND </w:t>
            </w:r>
            <w:r w:rsidRPr="00E10C86">
              <w:rPr>
                <w:color w:val="auto"/>
                <w:sz w:val="24"/>
                <w:szCs w:val="24"/>
                <w:lang w:val="en-US"/>
              </w:rPr>
              <w:t>của Hội đồng nhân dân</w:t>
            </w:r>
          </w:p>
        </w:tc>
      </w:tr>
      <w:tr w:rsidR="009932C4" w:rsidRPr="00E10C86" w14:paraId="62453CC7" w14:textId="77777777" w:rsidTr="00EC5B0C">
        <w:trPr>
          <w:trHeight w:val="285"/>
        </w:trPr>
        <w:tc>
          <w:tcPr>
            <w:tcW w:w="880" w:type="dxa"/>
            <w:vAlign w:val="center"/>
          </w:tcPr>
          <w:p w14:paraId="4D5A9887" w14:textId="77777777" w:rsidR="009932C4" w:rsidRPr="00E10C86" w:rsidRDefault="009932C4" w:rsidP="009932C4">
            <w:pPr>
              <w:widowControl w:val="0"/>
              <w:spacing w:before="120" w:after="120"/>
              <w:jc w:val="center"/>
              <w:rPr>
                <w:noProof/>
                <w:color w:val="auto"/>
                <w:sz w:val="24"/>
                <w:szCs w:val="24"/>
              </w:rPr>
            </w:pPr>
            <w:r w:rsidRPr="00E10C86">
              <w:rPr>
                <w:noProof/>
                <w:color w:val="auto"/>
                <w:sz w:val="24"/>
                <w:szCs w:val="24"/>
              </w:rPr>
              <w:t>2025</w:t>
            </w:r>
            <w:r w:rsidRPr="00E10C86">
              <w:rPr>
                <w:rStyle w:val="FootnoteReference"/>
                <w:noProof/>
                <w:sz w:val="24"/>
                <w:szCs w:val="24"/>
              </w:rPr>
              <w:footnoteReference w:id="4"/>
            </w:r>
          </w:p>
        </w:tc>
        <w:tc>
          <w:tcPr>
            <w:tcW w:w="993" w:type="dxa"/>
            <w:vAlign w:val="center"/>
          </w:tcPr>
          <w:p w14:paraId="279A447E" w14:textId="77777777" w:rsidR="009932C4" w:rsidRPr="00E10C86" w:rsidRDefault="009932C4" w:rsidP="009932C4">
            <w:pPr>
              <w:widowControl w:val="0"/>
              <w:spacing w:before="120" w:after="120"/>
              <w:jc w:val="center"/>
              <w:rPr>
                <w:noProof/>
                <w:color w:val="auto"/>
                <w:sz w:val="24"/>
                <w:szCs w:val="24"/>
                <w:lang w:val="en-US"/>
              </w:rPr>
            </w:pPr>
            <w:r w:rsidRPr="00E10C86">
              <w:rPr>
                <w:noProof/>
                <w:color w:val="auto"/>
                <w:sz w:val="24"/>
                <w:szCs w:val="24"/>
                <w:lang w:val="en-US"/>
              </w:rPr>
              <w:t>27</w:t>
            </w:r>
          </w:p>
        </w:tc>
        <w:tc>
          <w:tcPr>
            <w:tcW w:w="8079" w:type="dxa"/>
            <w:gridSpan w:val="5"/>
            <w:vAlign w:val="center"/>
          </w:tcPr>
          <w:p w14:paraId="644265B8" w14:textId="77777777" w:rsidR="009932C4" w:rsidRPr="00E10C86" w:rsidRDefault="009932C4" w:rsidP="009932C4">
            <w:pPr>
              <w:widowControl w:val="0"/>
              <w:spacing w:before="120" w:after="120"/>
              <w:jc w:val="center"/>
              <w:rPr>
                <w:noProof/>
                <w:color w:val="auto"/>
                <w:sz w:val="24"/>
                <w:szCs w:val="24"/>
                <w:lang w:val="en-US"/>
              </w:rPr>
            </w:pPr>
            <w:r w:rsidRPr="00E10C86">
              <w:rPr>
                <w:noProof/>
                <w:color w:val="auto"/>
                <w:sz w:val="24"/>
                <w:szCs w:val="24"/>
                <w:lang w:val="en-US"/>
              </w:rPr>
              <w:t xml:space="preserve">Từ 22/7/2024 không thực hiện thu phí theo </w:t>
            </w:r>
            <w:r w:rsidRPr="00E10C86">
              <w:rPr>
                <w:color w:val="auto"/>
                <w:sz w:val="24"/>
                <w:szCs w:val="24"/>
              </w:rPr>
              <w:t xml:space="preserve">Nghị quyết số 18/2024/NQ-HĐND </w:t>
            </w:r>
            <w:r w:rsidRPr="00E10C86">
              <w:rPr>
                <w:color w:val="auto"/>
                <w:sz w:val="24"/>
                <w:szCs w:val="24"/>
                <w:lang w:val="en-US"/>
              </w:rPr>
              <w:t>của Hội đồng nhân dân</w:t>
            </w:r>
          </w:p>
        </w:tc>
      </w:tr>
    </w:tbl>
    <w:p w14:paraId="378DBE5D" w14:textId="4509EF06" w:rsidR="00430612" w:rsidRDefault="003F1979" w:rsidP="00312AB6">
      <w:pPr>
        <w:widowControl w:val="0"/>
        <w:spacing w:before="120" w:after="120"/>
        <w:ind w:firstLine="567"/>
        <w:rPr>
          <w:noProof/>
          <w:color w:val="000000" w:themeColor="text1"/>
        </w:rPr>
      </w:pPr>
      <w:r>
        <w:t xml:space="preserve">Ngày 11/7/2024, HĐND tỉnh Quảng Nam đã ban hành Nghị quyết số 18/2024/NQ-HĐND quy định mức thu phí, lệ phí không đồng trong thực hiện dịch vụ công trực tuyến trên địa bàn tỉnh Quảng Nam, trong đó có phí thẩm định </w:t>
      </w:r>
      <w:r w:rsidR="00713126">
        <w:t>cấp, cấp lại, điều chỉnh GPMT</w:t>
      </w:r>
      <w:r>
        <w:t xml:space="preserve"> (khoản </w:t>
      </w:r>
      <w:r w:rsidR="00713126">
        <w:t>8</w:t>
      </w:r>
      <w:r>
        <w:t xml:space="preserve"> Điều 2). Kể từ khi Nghị quyết số 18/2024/NQ-HĐND có hiệu lực (từ ngày 22/7/2024), </w:t>
      </w:r>
      <w:r w:rsidRPr="00665F6B">
        <w:rPr>
          <w:noProof/>
          <w:color w:val="000000" w:themeColor="text1"/>
        </w:rPr>
        <w:t xml:space="preserve">Chi cục Bảo vệ môi trường </w:t>
      </w:r>
      <w:r>
        <w:rPr>
          <w:noProof/>
          <w:color w:val="000000" w:themeColor="text1"/>
        </w:rPr>
        <w:t xml:space="preserve">tỉnh Quảng Nam đã tiếp nhận </w:t>
      </w:r>
      <w:r w:rsidR="00C15648">
        <w:rPr>
          <w:b/>
          <w:bCs/>
          <w:noProof/>
          <w:color w:val="000000" w:themeColor="text1"/>
        </w:rPr>
        <w:t>51</w:t>
      </w:r>
      <w:r w:rsidRPr="009A2AB1">
        <w:rPr>
          <w:b/>
          <w:bCs/>
          <w:noProof/>
          <w:color w:val="000000" w:themeColor="text1"/>
        </w:rPr>
        <w:t xml:space="preserve"> hồ sơ</w:t>
      </w:r>
      <w:r>
        <w:rPr>
          <w:noProof/>
          <w:color w:val="000000" w:themeColor="text1"/>
        </w:rPr>
        <w:t xml:space="preserve"> </w:t>
      </w:r>
      <w:r w:rsidRPr="00665F6B">
        <w:rPr>
          <w:noProof/>
          <w:color w:val="000000" w:themeColor="text1"/>
        </w:rPr>
        <w:t xml:space="preserve">thẩm định </w:t>
      </w:r>
      <w:r w:rsidR="00732A33">
        <w:rPr>
          <w:noProof/>
          <w:color w:val="000000" w:themeColor="text1"/>
        </w:rPr>
        <w:t xml:space="preserve">cấp </w:t>
      </w:r>
      <w:r w:rsidR="00C15648">
        <w:rPr>
          <w:noProof/>
          <w:color w:val="000000" w:themeColor="text1"/>
        </w:rPr>
        <w:t>GPMT</w:t>
      </w:r>
      <w:r>
        <w:rPr>
          <w:noProof/>
          <w:color w:val="000000" w:themeColor="text1"/>
        </w:rPr>
        <w:t xml:space="preserve"> được nộp dịch vụ công trực tuyến</w:t>
      </w:r>
      <w:r w:rsidR="00430612">
        <w:rPr>
          <w:noProof/>
          <w:color w:val="000000" w:themeColor="text1"/>
        </w:rPr>
        <w:t xml:space="preserve"> (100% hồ sơ tiếp nhận)</w:t>
      </w:r>
      <w:r>
        <w:rPr>
          <w:noProof/>
          <w:color w:val="000000" w:themeColor="text1"/>
        </w:rPr>
        <w:t xml:space="preserve">. </w:t>
      </w:r>
    </w:p>
    <w:p w14:paraId="6FC24746" w14:textId="1D3521A3" w:rsidR="00430612" w:rsidRDefault="00430612" w:rsidP="00312AB6">
      <w:pPr>
        <w:widowControl w:val="0"/>
        <w:spacing w:before="120" w:after="120"/>
        <w:ind w:firstLine="567"/>
        <w:rPr>
          <w:color w:val="auto"/>
        </w:rPr>
      </w:pPr>
      <w:r>
        <w:rPr>
          <w:noProof/>
          <w:color w:val="000000" w:themeColor="text1"/>
        </w:rPr>
        <w:t xml:space="preserve">Từ ngày 22/7/2024 đến hết ngày 31/12/2024: </w:t>
      </w:r>
      <w:r w:rsidRPr="00430612">
        <w:rPr>
          <w:color w:val="auto"/>
        </w:rPr>
        <w:t xml:space="preserve">UBND tỉnh </w:t>
      </w:r>
      <w:r>
        <w:rPr>
          <w:color w:val="auto"/>
        </w:rPr>
        <w:t xml:space="preserve">Quảng Nam </w:t>
      </w:r>
      <w:r w:rsidRPr="00430612">
        <w:rPr>
          <w:color w:val="auto"/>
        </w:rPr>
        <w:t xml:space="preserve">đã thống nhất chủ trương sử dụng từ nguồn phí để lại các năm trước chưa sử dụng chuyển sang để chi phục vụ hoạt động thẩm định các hồ sơ phát sinh từ tháng </w:t>
      </w:r>
      <w:r w:rsidRPr="00430612">
        <w:rPr>
          <w:color w:val="auto"/>
        </w:rPr>
        <w:lastRenderedPageBreak/>
        <w:t>22/7/2024 nên NSNN không cấp tiền để chi cho nội dung này (</w:t>
      </w:r>
      <w:r w:rsidRPr="00430612">
        <w:rPr>
          <w:i/>
          <w:color w:val="auto"/>
        </w:rPr>
        <w:t>Theo Công văn số 7953/UBND-KTTH ngày 17/10/2024 của UBND tỉnh</w:t>
      </w:r>
      <w:r w:rsidRPr="00430612">
        <w:rPr>
          <w:color w:val="auto"/>
        </w:rPr>
        <w:t>).</w:t>
      </w:r>
    </w:p>
    <w:p w14:paraId="1A98A124" w14:textId="0CF2478E" w:rsidR="003F1979" w:rsidRPr="00430612" w:rsidRDefault="00430612" w:rsidP="00312AB6">
      <w:pPr>
        <w:widowControl w:val="0"/>
        <w:spacing w:before="120" w:after="120"/>
        <w:ind w:firstLine="567"/>
        <w:rPr>
          <w:b/>
          <w:color w:val="000000" w:themeColor="text1"/>
        </w:rPr>
      </w:pPr>
      <w:r w:rsidRPr="00430612">
        <w:rPr>
          <w:color w:val="auto"/>
        </w:rPr>
        <w:t xml:space="preserve">Đối với năm 2025, </w:t>
      </w:r>
      <w:r w:rsidRPr="00430612">
        <w:rPr>
          <w:noProof/>
          <w:color w:val="auto"/>
        </w:rPr>
        <w:t>t</w:t>
      </w:r>
      <w:r w:rsidRPr="00E10C86">
        <w:rPr>
          <w:noProof/>
          <w:color w:val="auto"/>
        </w:rPr>
        <w:t>ổng số tiền NSNN đã cấp</w:t>
      </w:r>
      <w:r w:rsidRPr="00E10C86">
        <w:rPr>
          <w:rStyle w:val="FootnoteReference"/>
          <w:noProof/>
        </w:rPr>
        <w:footnoteReference w:id="5"/>
      </w:r>
      <w:r w:rsidRPr="00E10C86">
        <w:rPr>
          <w:noProof/>
          <w:color w:val="auto"/>
        </w:rPr>
        <w:t xml:space="preserve"> để chi cho hoạt động thẩm định báo cáo ĐTM</w:t>
      </w:r>
      <w:r w:rsidRPr="00430612">
        <w:rPr>
          <w:noProof/>
          <w:color w:val="auto"/>
        </w:rPr>
        <w:t xml:space="preserve">, cấp GPMT là </w:t>
      </w:r>
      <w:r w:rsidRPr="00430612">
        <w:rPr>
          <w:b/>
          <w:bCs/>
          <w:noProof/>
          <w:color w:val="auto"/>
        </w:rPr>
        <w:t>923.000.000 đồng</w:t>
      </w:r>
      <w:r w:rsidRPr="00430612">
        <w:rPr>
          <w:noProof/>
          <w:color w:val="auto"/>
        </w:rPr>
        <w:t>; trong đó chi cho hoạt động thẩm định báo cáo ĐTM là</w:t>
      </w:r>
      <w:r w:rsidRPr="00E10C86">
        <w:rPr>
          <w:noProof/>
          <w:color w:val="auto"/>
        </w:rPr>
        <w:t xml:space="preserve"> </w:t>
      </w:r>
      <w:r w:rsidRPr="00430612">
        <w:rPr>
          <w:b/>
          <w:bCs/>
          <w:noProof/>
          <w:color w:val="auto"/>
        </w:rPr>
        <w:t xml:space="preserve">361.000.000 </w:t>
      </w:r>
      <w:r w:rsidRPr="00E10C86">
        <w:rPr>
          <w:b/>
          <w:bCs/>
          <w:noProof/>
          <w:color w:val="auto"/>
        </w:rPr>
        <w:t>đồng</w:t>
      </w:r>
      <w:r w:rsidRPr="00E10C86">
        <w:rPr>
          <w:noProof/>
          <w:color w:val="auto"/>
        </w:rPr>
        <w:t xml:space="preserve">, chi cho hoạt động thẩm định, kiểm tra cấp GPMT là </w:t>
      </w:r>
      <w:r w:rsidRPr="00430612">
        <w:rPr>
          <w:b/>
          <w:bCs/>
          <w:noProof/>
          <w:color w:val="auto"/>
        </w:rPr>
        <w:t xml:space="preserve">562.000.000 </w:t>
      </w:r>
      <w:r w:rsidRPr="00E10C86">
        <w:rPr>
          <w:b/>
          <w:bCs/>
          <w:noProof/>
          <w:color w:val="auto"/>
        </w:rPr>
        <w:t>đồng</w:t>
      </w:r>
      <w:r w:rsidRPr="00723442">
        <w:rPr>
          <w:noProof/>
          <w:color w:val="auto"/>
        </w:rPr>
        <w:t>;</w:t>
      </w:r>
      <w:r w:rsidRPr="00E10C86">
        <w:rPr>
          <w:noProof/>
          <w:color w:val="auto"/>
        </w:rPr>
        <w:t xml:space="preserve"> số tiền thực chi cho hoạt động thẩm định báo cáo ĐTM</w:t>
      </w:r>
      <w:r w:rsidRPr="00430612">
        <w:rPr>
          <w:noProof/>
          <w:color w:val="auto"/>
        </w:rPr>
        <w:t>, cấp</w:t>
      </w:r>
      <w:r w:rsidRPr="00E10C86">
        <w:rPr>
          <w:noProof/>
          <w:color w:val="auto"/>
        </w:rPr>
        <w:t xml:space="preserve"> GPMT là </w:t>
      </w:r>
      <w:r w:rsidRPr="00430612">
        <w:rPr>
          <w:b/>
          <w:bCs/>
          <w:noProof/>
          <w:color w:val="auto"/>
        </w:rPr>
        <w:t>85.000.000</w:t>
      </w:r>
      <w:r w:rsidRPr="00E10C86">
        <w:rPr>
          <w:b/>
          <w:bCs/>
          <w:noProof/>
          <w:color w:val="auto"/>
        </w:rPr>
        <w:t xml:space="preserve"> đồng</w:t>
      </w:r>
      <w:r w:rsidRPr="00430612">
        <w:rPr>
          <w:b/>
          <w:bCs/>
          <w:noProof/>
          <w:color w:val="auto"/>
        </w:rPr>
        <w:t xml:space="preserve"> </w:t>
      </w:r>
      <w:r w:rsidRPr="00723442">
        <w:rPr>
          <w:noProof/>
          <w:color w:val="auto"/>
        </w:rPr>
        <w:t>(Tính đến thời điểm 30/5/2025).</w:t>
      </w:r>
    </w:p>
    <w:p w14:paraId="796C70C9" w14:textId="56B937A5" w:rsidR="002A6118" w:rsidRDefault="002A6118" w:rsidP="00312AB6">
      <w:pPr>
        <w:widowControl w:val="0"/>
        <w:spacing w:before="120" w:after="120"/>
        <w:ind w:firstLine="567"/>
        <w:rPr>
          <w:b/>
          <w:color w:val="000000" w:themeColor="text1"/>
        </w:rPr>
      </w:pPr>
      <w:r w:rsidRPr="004C0F09">
        <w:rPr>
          <w:b/>
          <w:color w:val="000000" w:themeColor="text1"/>
        </w:rPr>
        <w:t>II</w:t>
      </w:r>
      <w:r w:rsidRPr="00070968">
        <w:rPr>
          <w:b/>
          <w:color w:val="000000" w:themeColor="text1"/>
        </w:rPr>
        <w:t>I</w:t>
      </w:r>
      <w:r w:rsidRPr="004C0F09">
        <w:rPr>
          <w:b/>
          <w:color w:val="000000" w:themeColor="text1"/>
        </w:rPr>
        <w:t>.</w:t>
      </w:r>
      <w:r w:rsidRPr="004C0F09">
        <w:rPr>
          <w:color w:val="000000" w:themeColor="text1"/>
        </w:rPr>
        <w:t xml:space="preserve"> </w:t>
      </w:r>
      <w:r w:rsidRPr="004C0F09">
        <w:rPr>
          <w:b/>
          <w:color w:val="000000" w:themeColor="text1"/>
        </w:rPr>
        <w:t>SỰ CẦN THIẾT CỦA VIỆC XÂY DỰNG ĐỀ ÁN</w:t>
      </w:r>
    </w:p>
    <w:p w14:paraId="0A58BAC1" w14:textId="77777777" w:rsidR="009932C4" w:rsidRPr="009932C4" w:rsidRDefault="009932C4" w:rsidP="009932C4">
      <w:pPr>
        <w:widowControl w:val="0"/>
        <w:spacing w:before="120" w:after="120"/>
        <w:ind w:firstLine="567"/>
      </w:pPr>
      <w:r w:rsidRPr="009932C4">
        <w:t xml:space="preserve">Phí thẩm định cấp, cấp lại, điều chỉnh GPMT trên địa bàn thành phố Đà Nẵng được HĐND thành phố Đà Nẵng quy định tại Nghị quyết số 59/2021/NQ-HĐND ngày 17/12/2021. Phí thẩm định cấp, cấp lại, điều chỉnh GPMT trên địa bàn tỉnh Quảng Nam được </w:t>
      </w:r>
      <w:bookmarkStart w:id="4" w:name="_Hlk199843890"/>
      <w:r w:rsidRPr="009932C4">
        <w:t xml:space="preserve">HĐND tỉnh Quảng Nam </w:t>
      </w:r>
      <w:bookmarkEnd w:id="4"/>
      <w:r w:rsidRPr="009932C4">
        <w:t xml:space="preserve">quy định tại Nghị quyết số 07/2022/NQ-HĐND ngày 21/4/2022 quy định mức thu, chế độ thu, nộp, quản lý và sử dụng phí thẩm định cấp, cấp lại, điều chỉnh giấy phép môi trường trên địa bàn tỉnh Quảng Nam và </w:t>
      </w:r>
      <w:bookmarkStart w:id="5" w:name="_Hlk199843971"/>
      <w:r w:rsidRPr="009932C4">
        <w:t>Nghị quyết số 18/2024/NQ-HĐND ngày 11/7/2024 quy định mức thu phí, lệ phí không đồng trong thực hiện dịch vụ công trực tuyến trên địa bàn tỉnh Quảng Nam (Khoản 8 Điều 2)</w:t>
      </w:r>
      <w:bookmarkEnd w:id="5"/>
      <w:r w:rsidRPr="009932C4">
        <w:t>.</w:t>
      </w:r>
    </w:p>
    <w:p w14:paraId="09013198" w14:textId="77777777" w:rsidR="009932C4" w:rsidRPr="009932C4" w:rsidRDefault="009932C4" w:rsidP="009932C4">
      <w:pPr>
        <w:widowControl w:val="0"/>
        <w:spacing w:before="120" w:after="120"/>
        <w:ind w:firstLine="567"/>
      </w:pPr>
      <w:r w:rsidRPr="009932C4">
        <w:t xml:space="preserve">Qua so sánh, giữa 02 địa phương có sự tương đồng về mức phí, cơ quan thu phí (tại Đà Nẵng: Chi cục Bảo vệ môi trường, UBND cấp huyện; tại Quảng Nam: Sở Tài nguyên và Môi trường, Phòng Tài nguyên và Môi trường); tỷ lệ trích nộp NSNN và trích để lại (nộp NS: 10%, để lại: 90%). </w:t>
      </w:r>
    </w:p>
    <w:p w14:paraId="0DD83F88" w14:textId="77777777" w:rsidR="009932C4" w:rsidRPr="009932C4" w:rsidRDefault="009932C4" w:rsidP="009932C4">
      <w:pPr>
        <w:widowControl w:val="0"/>
        <w:spacing w:before="120" w:after="120"/>
        <w:ind w:firstLine="567"/>
      </w:pPr>
      <w:r w:rsidRPr="009932C4">
        <w:t>Tuy nhiên, ở Quảng Nam có quy định mức phí riêng đối với hoạt động cấp, cấp lại, điều chỉnh GPMT thuộc thẩm quyền cấp huyện (thấp hơn so với mức phí cấp tỉnh). Trong khi đó, các hoạt động phục vụ công tác thẩm định cấp, cấp lại, điều chỉnh GPMT cấp tỉnh và cấp huyện là giống nhau (chi phí tổ chức hội đồng thẩm định, đoàn kiểm tra cấp GPMT, chi phí kiểm tra thực tế, các chi phí liên quan...).</w:t>
      </w:r>
    </w:p>
    <w:p w14:paraId="3C09F76F" w14:textId="77777777" w:rsidR="009932C4" w:rsidRPr="009932C4" w:rsidRDefault="009932C4" w:rsidP="009932C4">
      <w:pPr>
        <w:widowControl w:val="0"/>
        <w:spacing w:before="120" w:after="120"/>
        <w:ind w:firstLine="567"/>
      </w:pPr>
      <w:r w:rsidRPr="009932C4">
        <w:t>Đồng thời ở Quảng Nam, đối với hồ sơ nộp dịch vụ công trực tuyến thì áp dụng mức phí 0 đồng là chưa phù hợp với quy định, cụ thể:</w:t>
      </w:r>
    </w:p>
    <w:p w14:paraId="65662B8C" w14:textId="77777777" w:rsidR="009932C4" w:rsidRPr="009932C4" w:rsidRDefault="009932C4" w:rsidP="009932C4">
      <w:pPr>
        <w:widowControl w:val="0"/>
        <w:spacing w:before="120" w:after="120"/>
        <w:ind w:firstLine="567"/>
      </w:pPr>
      <w:r w:rsidRPr="009932C4">
        <w:t xml:space="preserve">- Theo quy định của pháp luật về phí, lệ phí thì chi phí cho hoạt động thẩm định được sử dụng từ nguồn trích để lại  trong tổng số tiền phí thu được. </w:t>
      </w:r>
    </w:p>
    <w:p w14:paraId="1BA18BFA" w14:textId="77777777" w:rsidR="009932C4" w:rsidRPr="009932C4" w:rsidRDefault="009932C4" w:rsidP="009932C4">
      <w:pPr>
        <w:widowControl w:val="0"/>
        <w:spacing w:before="120" w:after="120"/>
        <w:ind w:firstLine="567"/>
      </w:pPr>
      <w:r w:rsidRPr="009932C4">
        <w:t>- Việc áp dụng mức phí 0 đồng dẫn đến sẽ phải bố trí kinh phí từ nguồn vốn ngân sách cho hoạt động thẩm định. Trong khi đó, chủ dự án có trách nhiệm nộp phí thẩm định theo quy định tại khoản 1 Điều 45 Luật Bảo vệ môi trường.</w:t>
      </w:r>
    </w:p>
    <w:p w14:paraId="1F83C1CD" w14:textId="77777777" w:rsidR="009932C4" w:rsidRPr="009932C4" w:rsidRDefault="009932C4" w:rsidP="009932C4">
      <w:pPr>
        <w:widowControl w:val="0"/>
        <w:spacing w:before="120" w:after="120"/>
        <w:ind w:firstLine="567"/>
      </w:pPr>
      <w:r w:rsidRPr="009932C4">
        <w:t>Ngày 26/6/2024, Quốc hội đã ban hành Nghị quyết số 136/2024/QH15 về tổ chức chính quyền đô thị và thí điểm một số cơ chế, chính sách đặc thù phát triển thành phố Đà Nẵng. Theo đó:</w:t>
      </w:r>
    </w:p>
    <w:p w14:paraId="1CAE8FFE" w14:textId="77777777" w:rsidR="009932C4" w:rsidRPr="009932C4" w:rsidRDefault="009932C4" w:rsidP="009932C4">
      <w:pPr>
        <w:widowControl w:val="0"/>
        <w:spacing w:before="120" w:after="120"/>
        <w:ind w:firstLine="567"/>
      </w:pPr>
      <w:r w:rsidRPr="009932C4">
        <w:t xml:space="preserve">- Tại khoản 3 Điều 11: </w:t>
      </w:r>
      <w:r w:rsidRPr="009932C4">
        <w:rPr>
          <w:i/>
          <w:iCs/>
        </w:rPr>
        <w:t xml:space="preserve">“Ban Quản lý Khu công nghệ cao và các khu công nghiệp Đà Nẵng có thẩm quyền thẩm định, phê duyệt kết quả thẩm định báo cáo </w:t>
      </w:r>
      <w:r w:rsidRPr="009932C4">
        <w:rPr>
          <w:i/>
          <w:iCs/>
        </w:rPr>
        <w:lastRenderedPageBreak/>
        <w:t>đánh giá tác động môi trường thuộc thẩm quyền của Ủy ban nhân dân Thành phố; cấp, cấp đổi, cấp lại, điều chỉnh, thu hồi giấy phép môi trường thuộc thẩm quyền của Ủy ban nhân dân Thành phố, Ủy ban nhân dân các quận, huyện trong phạm vi Khu công nghệ cao, Khu công nghệ thông tin tập trung, Khu công nghiệp”</w:t>
      </w:r>
      <w:r w:rsidRPr="009932C4">
        <w:t>.</w:t>
      </w:r>
    </w:p>
    <w:p w14:paraId="6FD6D7CA" w14:textId="77777777" w:rsidR="009932C4" w:rsidRPr="009932C4" w:rsidRDefault="009932C4" w:rsidP="009932C4">
      <w:pPr>
        <w:widowControl w:val="0"/>
        <w:spacing w:before="120" w:after="120"/>
        <w:ind w:firstLine="567"/>
      </w:pPr>
      <w:r w:rsidRPr="009932C4">
        <w:t xml:space="preserve">- Tại điểm đ khoản 8 Điều 13: </w:t>
      </w:r>
      <w:r w:rsidRPr="009932C4">
        <w:rPr>
          <w:i/>
          <w:iCs/>
        </w:rPr>
        <w:t>“Ban Quản lý Khu công nghệ cao và các KCN Đà Nẵng thực hiện chức năng quản lý nhà nước trực tiếp đối với Khu thương mại tự do Đà Nẵng và thực hiện Thẩm định, phê duyệt kết quả thẩm định cấp, cấp lại, điều chỉnh giấy phép môi trường thuộc thẩm quyền của Bộ Tài nguyên và Môi trường, Ủy ban nhân dân Thành phố trong phạm vi các khu chức năng thuộc Khu thương mại tự do Đà Nẵng; trình tự, thủ tục áp dụng như trình tự, thủ tục thuộc thẩm quyền của Bộ Tài nguyên và Môi trường, Ủy ban nhân dân Thành phố tương ứng đối với từng nhiệm vụ. Cấp, cấp đổi, cấp lại, điều chỉnh, thu hồi giấy phép môi trường thuộc thẩm quyền của Bộ Tài nguyên và Môi trường, Ủy ban nhân dân Thành phố, Ủy ban nhân dân các quận, huyện trong phạm vi các khu chức năng thuộc Khu thương mại tự do Đà Nẵng; trình tự, thủ tục áp dụng như trình tự, thủ tục thuộc thẩm quyền của Bộ Tài nguyên và Môi trường, Ủy ban nhân dân Thành phố tương ứng từng nhiệm vụ”</w:t>
      </w:r>
      <w:r w:rsidRPr="009932C4">
        <w:t>.</w:t>
      </w:r>
    </w:p>
    <w:p w14:paraId="20215C64" w14:textId="77777777" w:rsidR="009932C4" w:rsidRPr="009932C4" w:rsidRDefault="009932C4" w:rsidP="009932C4">
      <w:pPr>
        <w:widowControl w:val="0"/>
        <w:spacing w:before="120" w:after="120"/>
        <w:ind w:firstLine="567"/>
      </w:pPr>
      <w:r w:rsidRPr="009932C4">
        <w:t>Ngày 06/01/2025, Chính phủ đã ban hành Nghị định số 05/2025/NĐ-CP sửa đổi, bổ sung một số điều của Nghị định số 08/2022/NĐ-CP ngày 10 tháng 01 năm 2022 của Chính phủ Quy định chi tiết một số điều của Luật Bảo vệ môi trường. Theo đó, tại Khoản 7 Điều 1 Nghị định số 05/2025/NĐ-CP đã bổ sung Điều 26a vào trước Điều 26 Nghị định số 08/2022/NĐ-CP về việc phân cấp UBND cấp tỉnh cấp GPMT đối với dự án đầu tư thuộc thẩm quyền thẩm định báo cáo đánh giá tác động môi trường của Bộ Tài nguyên và Môi trường; tại khoản 4 Điều 5 giao UBND cấp tỉnh thẩm định, cấp GPMT đối với dự án, cơ sở đã được Bộ Tài nguyên và Môi trường phê duyệt kết quả thẩm định báo cáo đánh giá tác động môi trường theo quy định của pháp luật tại thời điểm trước ngày Nghị định này có hiệu lực thi hành và thuộc một trong các trường hợp quy định tại điểm a, b, c khoản 4 Điều 5 Nghị định số 05/2025/NĐ-CP.</w:t>
      </w:r>
    </w:p>
    <w:p w14:paraId="3AE2337B" w14:textId="77777777" w:rsidR="009932C4" w:rsidRPr="009932C4" w:rsidRDefault="009932C4" w:rsidP="009932C4">
      <w:pPr>
        <w:widowControl w:val="0"/>
        <w:spacing w:before="120" w:after="120"/>
        <w:ind w:firstLine="567"/>
      </w:pPr>
      <w:bookmarkStart w:id="6" w:name="_Hlk200362500"/>
      <w:r w:rsidRPr="009932C4">
        <w:t>Ngày 28/02/2025, Bộ trưởng Bộ Tài nguyên và Môi trường ban hành Thông tư số 07/2025/TT-BTNMT sửa đổi, bổ sung một số điều của Thông tư số 02/2022/TT-BTNMT ngày 10/01/2022 của Bộ trưởng Bộ Tài nguyên và Môi trường quy định chi tiết thi hành một số điều của Luật Bảo vệ môi trường. Theo đó, tại khoản 5 Điều 1 Thông tư số 07/2025/TT-BTNMT sửa đổi, bổ sung Điều 18 Thông tư số 02/2022/TT-BTNMT về tổ chức và hoạt động của hội đồng thẩm định, đoàn kiểm tra cấp, cấp lại, điều chỉnh giấy phép môi trường.</w:t>
      </w:r>
    </w:p>
    <w:bookmarkEnd w:id="6"/>
    <w:p w14:paraId="12DDD6A5" w14:textId="77777777" w:rsidR="009932C4" w:rsidRPr="009932C4" w:rsidRDefault="009932C4" w:rsidP="009932C4">
      <w:pPr>
        <w:widowControl w:val="0"/>
        <w:spacing w:before="120" w:after="120"/>
        <w:ind w:firstLine="567"/>
      </w:pPr>
      <w:r w:rsidRPr="009932C4">
        <w:t xml:space="preserve">Chính phủ hiện nay đang lấy ý kiến góp ý đối với Dự thảo Nghị định của Chính phủ Quy định phân định thẩm quyền của chính quyền địa phương hai cấp trong lĩnh vực quản lý nhà nước của Bộ Nông nghiệp và Môi trường. Theo đó, tại Điều 26 Dự thảo Nghị định quy định thẩm quyền của Chủ tịch Ủy ban nhân dân cấp tỉnh cấp GPMT thuộc thẩm quyền của UBND cấp huyện khi thực hiện chính quyền địa phương 02 cấp: </w:t>
      </w:r>
    </w:p>
    <w:p w14:paraId="63802D10" w14:textId="77777777" w:rsidR="009932C4" w:rsidRPr="009932C4" w:rsidRDefault="009932C4" w:rsidP="009932C4">
      <w:pPr>
        <w:widowControl w:val="0"/>
        <w:spacing w:before="120" w:after="120"/>
        <w:ind w:firstLine="567"/>
        <w:rPr>
          <w:i/>
          <w:iCs/>
        </w:rPr>
      </w:pPr>
      <w:r w:rsidRPr="009932C4">
        <w:rPr>
          <w:i/>
          <w:iCs/>
        </w:rPr>
        <w:t xml:space="preserve">“1. Cấp giấy phép môi trường theo quy định khoản 4 Điều 41 Luật Bảo vệ môi trường đối với dự án đầu tư, cơ sở thuộc các nhóm I, II, III quy định tại các </w:t>
      </w:r>
      <w:r w:rsidRPr="009932C4">
        <w:rPr>
          <w:i/>
          <w:iCs/>
        </w:rPr>
        <w:lastRenderedPageBreak/>
        <w:t>Phụ lục III, IV và V ban hành kèm theo Nghị định số 08/2022/NĐ-CP ngày 10 tháng 01 năm 2022 của Chính phủ quy định chi tiết một số điều của Luật Bảo vệ môi trường, đã được sửa đổi, bổ sung tại Nghị định số 05/2025/NĐ-CP ngày 06 tháng 01 năm 2025.</w:t>
      </w:r>
    </w:p>
    <w:p w14:paraId="474DB6B3" w14:textId="77777777" w:rsidR="009932C4" w:rsidRPr="009932C4" w:rsidRDefault="009932C4" w:rsidP="009932C4">
      <w:pPr>
        <w:widowControl w:val="0"/>
        <w:spacing w:before="120" w:after="120"/>
        <w:ind w:firstLine="567"/>
      </w:pPr>
      <w:r w:rsidRPr="009932C4">
        <w:rPr>
          <w:i/>
          <w:iCs/>
        </w:rPr>
        <w:t>2. Cấp đổi, điều chỉnh, cấp lại, thu hồi giấy phép môi trường quy định tại điểm b khoản 2 Điều 168 Luật Bảo vệ môi trường”</w:t>
      </w:r>
      <w:r w:rsidRPr="009932C4">
        <w:t>.</w:t>
      </w:r>
    </w:p>
    <w:p w14:paraId="0B66BC7C" w14:textId="77777777" w:rsidR="009932C4" w:rsidRPr="009932C4" w:rsidRDefault="009932C4" w:rsidP="009932C4">
      <w:pPr>
        <w:widowControl w:val="0"/>
        <w:spacing w:before="120" w:after="120"/>
        <w:ind w:firstLine="567"/>
      </w:pPr>
      <w:r w:rsidRPr="009932C4">
        <w:t>Đồng thời, ngày 12/4/2025, Hội nghị lần thứ 11 Ban Chấp hành Trung ương Đảng khóa XIII họp từ ngày 10/4 đến ngày 12/4/2025 đã ban hành Nghị quyết số 60-NQ/TW; ngày 14/4/2025, Ủy ban thường vụ Quốc hội đã ban hành Nghị quyết số 76/2025/UBTVQH15 về việc sắp xếp đơn vị hành chính năm 2025. Theo đó, hợp nhất tỉnh Quảng Nam và thành phố Đà Nẵng, lấy tên là thành phố Đà Nẵng, trung tâm chính trị - hành chính đặt tại thành phố Đà Nẵng hiện nay.</w:t>
      </w:r>
    </w:p>
    <w:p w14:paraId="7EBDCC60" w14:textId="7F599126" w:rsidR="001E458F" w:rsidRPr="0076092F" w:rsidRDefault="009932C4" w:rsidP="009932C4">
      <w:pPr>
        <w:widowControl w:val="0"/>
        <w:spacing w:before="120" w:after="120"/>
        <w:ind w:firstLine="567"/>
        <w:rPr>
          <w:spacing w:val="-2"/>
        </w:rPr>
      </w:pPr>
      <w:r w:rsidRPr="009932C4">
        <w:t>Do đó, cần thiết phải thống nhất đối tượng nộp phí, mức thu phí, cơ quan thu phí sau khi thực hiện sáp nhập địa phương và ban hành Nghị quyết quy định mức thu, đối tượng thu, nộp, chế độ quản lý, sử dụng phí thẩm định cấp, cấp lại, điều chỉnh GPMT trên địa bàn thành phố Đà Nẵng (sau sáp nhập) đảm bảo theo chủ trương, chính sách, quy định pháp luật hiện hành để tiếp tục thực hiện công tác thẩm định cấp, cấp lại, điều chỉnh GPMT trên địa bàn thành phố Đà Nẵng (sau sáp nhập) đảm bảo tính kịp thời và không làm gián đoạn giải quyết thủ tục hành chính của tổ chức, cá nhân.</w:t>
      </w:r>
    </w:p>
    <w:p w14:paraId="70797008" w14:textId="34D23165" w:rsidR="00611934" w:rsidRPr="008E49D0" w:rsidRDefault="002A6118" w:rsidP="001E458F">
      <w:pPr>
        <w:widowControl w:val="0"/>
        <w:spacing w:before="120" w:after="120"/>
        <w:ind w:firstLine="567"/>
        <w:rPr>
          <w:color w:val="000000" w:themeColor="text1"/>
        </w:rPr>
      </w:pPr>
      <w:r>
        <w:rPr>
          <w:b/>
          <w:color w:val="000000" w:themeColor="text1"/>
        </w:rPr>
        <w:t>IV</w:t>
      </w:r>
      <w:r w:rsidR="00611934" w:rsidRPr="008E49D0">
        <w:rPr>
          <w:b/>
          <w:color w:val="000000" w:themeColor="text1"/>
        </w:rPr>
        <w:t xml:space="preserve">. </w:t>
      </w:r>
      <w:r w:rsidR="00243F28" w:rsidRPr="00A01832">
        <w:rPr>
          <w:rFonts w:eastAsia="Times"/>
          <w:b/>
          <w:color w:val="000000" w:themeColor="text1"/>
        </w:rPr>
        <w:t xml:space="preserve">NỘI DUNG CỦA ĐỀ ÁN </w:t>
      </w:r>
      <w:r w:rsidR="00E22AFA">
        <w:rPr>
          <w:rFonts w:eastAsia="Times"/>
          <w:b/>
          <w:color w:val="000000" w:themeColor="text1"/>
        </w:rPr>
        <w:t xml:space="preserve">THU </w:t>
      </w:r>
      <w:r w:rsidR="00243F28" w:rsidRPr="00A01832">
        <w:rPr>
          <w:rFonts w:eastAsia="Times"/>
          <w:b/>
          <w:color w:val="000000" w:themeColor="text1"/>
        </w:rPr>
        <w:t>PHÍ</w:t>
      </w:r>
    </w:p>
    <w:p w14:paraId="7DCBE581" w14:textId="77777777" w:rsidR="00C23BD1" w:rsidRPr="00C23BD1" w:rsidRDefault="00C23BD1" w:rsidP="00312AB6">
      <w:pPr>
        <w:widowControl w:val="0"/>
        <w:spacing w:before="120" w:after="120"/>
        <w:ind w:firstLine="567"/>
        <w:rPr>
          <w:b/>
          <w:color w:val="000000" w:themeColor="text1"/>
        </w:rPr>
      </w:pPr>
      <w:r w:rsidRPr="00C23BD1">
        <w:rPr>
          <w:b/>
          <w:color w:val="000000" w:themeColor="text1"/>
        </w:rPr>
        <w:t xml:space="preserve">1. </w:t>
      </w:r>
      <w:r w:rsidR="00243F28" w:rsidRPr="00C23BD1">
        <w:rPr>
          <w:b/>
          <w:color w:val="000000" w:themeColor="text1"/>
        </w:rPr>
        <w:t>Tên phí</w:t>
      </w:r>
    </w:p>
    <w:p w14:paraId="123076C9" w14:textId="06DAC728" w:rsidR="00611934" w:rsidRPr="008E49D0" w:rsidRDefault="00C23BD1" w:rsidP="00312AB6">
      <w:pPr>
        <w:spacing w:before="120" w:after="120"/>
        <w:ind w:firstLine="567"/>
        <w:rPr>
          <w:b/>
          <w:color w:val="000000" w:themeColor="text1"/>
        </w:rPr>
      </w:pPr>
      <w:r w:rsidRPr="00C23BD1">
        <w:t>Quy định mức thu, đối tượng thu, n</w:t>
      </w:r>
      <w:r>
        <w:t xml:space="preserve">ộp, chế độ quản lý, sử dụng </w:t>
      </w:r>
      <w:r w:rsidR="00A90927">
        <w:t>p</w:t>
      </w:r>
      <w:r>
        <w:t xml:space="preserve">hí </w:t>
      </w:r>
      <w:r w:rsidR="00883FB3" w:rsidRPr="00C23BD1">
        <w:rPr>
          <w:color w:val="000000" w:themeColor="text1"/>
        </w:rPr>
        <w:t xml:space="preserve">thẩm định </w:t>
      </w:r>
      <w:r w:rsidR="00732A33">
        <w:rPr>
          <w:color w:val="000000" w:themeColor="text1"/>
        </w:rPr>
        <w:t>cấp, cấp lại, điều chỉnh giấy phép môi trường</w:t>
      </w:r>
      <w:r w:rsidR="00883FB3" w:rsidRPr="00C23BD1">
        <w:rPr>
          <w:color w:val="000000" w:themeColor="text1"/>
        </w:rPr>
        <w:t xml:space="preserve"> trên địa bàn thành phố Đà Nẵng</w:t>
      </w:r>
      <w:r w:rsidR="00611934" w:rsidRPr="008E49D0">
        <w:rPr>
          <w:color w:val="000000" w:themeColor="text1"/>
        </w:rPr>
        <w:t>.</w:t>
      </w:r>
      <w:r w:rsidR="00883FB3" w:rsidRPr="00A01832">
        <w:rPr>
          <w:b/>
          <w:color w:val="000000" w:themeColor="text1"/>
        </w:rPr>
        <w:t xml:space="preserve"> </w:t>
      </w:r>
    </w:p>
    <w:p w14:paraId="6849A64E" w14:textId="77777777" w:rsidR="00E22AFA" w:rsidRDefault="00611934" w:rsidP="00312AB6">
      <w:pPr>
        <w:widowControl w:val="0"/>
        <w:pBdr>
          <w:top w:val="nil"/>
          <w:left w:val="nil"/>
          <w:bottom w:val="nil"/>
          <w:right w:val="nil"/>
          <w:between w:val="nil"/>
        </w:pBdr>
        <w:spacing w:before="120" w:after="120"/>
        <w:ind w:firstLine="567"/>
        <w:rPr>
          <w:b/>
          <w:color w:val="000000" w:themeColor="text1"/>
        </w:rPr>
      </w:pPr>
      <w:r w:rsidRPr="008E49D0">
        <w:rPr>
          <w:b/>
          <w:color w:val="000000" w:themeColor="text1"/>
        </w:rPr>
        <w:t xml:space="preserve">2. </w:t>
      </w:r>
      <w:r w:rsidR="00E22AFA">
        <w:rPr>
          <w:b/>
          <w:color w:val="000000" w:themeColor="text1"/>
        </w:rPr>
        <w:t>Phương án thu phí</w:t>
      </w:r>
    </w:p>
    <w:p w14:paraId="6C7DDB65" w14:textId="77777777" w:rsidR="003730AD" w:rsidRPr="00A01832" w:rsidRDefault="003730AD" w:rsidP="00312AB6">
      <w:pPr>
        <w:widowControl w:val="0"/>
        <w:spacing w:before="120" w:after="120"/>
        <w:ind w:firstLine="567"/>
        <w:rPr>
          <w:color w:val="000000" w:themeColor="text1"/>
        </w:rPr>
      </w:pPr>
      <w:r w:rsidRPr="00A01832">
        <w:rPr>
          <w:color w:val="000000" w:themeColor="text1"/>
        </w:rPr>
        <w:t>Phương án thu phí được đề xuất như sau:</w:t>
      </w:r>
    </w:p>
    <w:p w14:paraId="3356A276" w14:textId="38A7E7B1" w:rsidR="003730AD" w:rsidRPr="00A01832" w:rsidRDefault="003730AD" w:rsidP="00312AB6">
      <w:pPr>
        <w:widowControl w:val="0"/>
        <w:spacing w:before="120" w:after="120"/>
        <w:ind w:firstLine="567"/>
        <w:rPr>
          <w:color w:val="000000" w:themeColor="text1"/>
        </w:rPr>
      </w:pPr>
      <w:r w:rsidRPr="00A01832">
        <w:rPr>
          <w:color w:val="000000" w:themeColor="text1"/>
        </w:rPr>
        <w:t xml:space="preserve">- </w:t>
      </w:r>
      <w:r w:rsidR="00861A7A" w:rsidRPr="00861A7A">
        <w:rPr>
          <w:color w:val="000000" w:themeColor="text1"/>
        </w:rPr>
        <w:t>T</w:t>
      </w:r>
      <w:r w:rsidRPr="00A01832">
        <w:rPr>
          <w:color w:val="000000" w:themeColor="text1"/>
        </w:rPr>
        <w:t xml:space="preserve">ổ chức, cá nhân đề nghị </w:t>
      </w:r>
      <w:r w:rsidR="00876EB7" w:rsidRPr="00876EB7">
        <w:rPr>
          <w:color w:val="000000" w:themeColor="text1"/>
        </w:rPr>
        <w:t>c</w:t>
      </w:r>
      <w:r w:rsidR="00876EB7" w:rsidRPr="00EF499A">
        <w:rPr>
          <w:color w:val="000000" w:themeColor="text1"/>
        </w:rPr>
        <w:t xml:space="preserve">ơ quan nhà nước </w:t>
      </w:r>
      <w:r w:rsidR="00876EB7" w:rsidRPr="00A01832">
        <w:rPr>
          <w:color w:val="000000" w:themeColor="text1"/>
        </w:rPr>
        <w:t xml:space="preserve">có thẩm quyền </w:t>
      </w:r>
      <w:r w:rsidR="00876EB7">
        <w:rPr>
          <w:color w:val="000000" w:themeColor="text1"/>
        </w:rPr>
        <w:t>thẩm định</w:t>
      </w:r>
      <w:r w:rsidR="00876EB7" w:rsidRPr="00B225D6">
        <w:rPr>
          <w:noProof/>
          <w:color w:val="000000" w:themeColor="text1"/>
        </w:rPr>
        <w:t xml:space="preserve"> </w:t>
      </w:r>
      <w:r w:rsidR="00876EB7" w:rsidRPr="007C40D3">
        <w:rPr>
          <w:noProof/>
          <w:color w:val="000000" w:themeColor="text1"/>
        </w:rPr>
        <w:t>h</w:t>
      </w:r>
      <w:r w:rsidR="00876EB7" w:rsidRPr="00665F6B">
        <w:rPr>
          <w:noProof/>
          <w:color w:val="000000" w:themeColor="text1"/>
        </w:rPr>
        <w:t xml:space="preserve">oặc được ủy quyền </w:t>
      </w:r>
      <w:r w:rsidR="00732A33">
        <w:rPr>
          <w:color w:val="000000" w:themeColor="text1"/>
        </w:rPr>
        <w:t>cấp, cấp lại, điều chỉnh giấy phép môi trường</w:t>
      </w:r>
      <w:r w:rsidR="00AB2C4B" w:rsidRPr="00C23BD1">
        <w:rPr>
          <w:color w:val="000000" w:themeColor="text1"/>
        </w:rPr>
        <w:t xml:space="preserve"> </w:t>
      </w:r>
      <w:r w:rsidRPr="00A01832">
        <w:rPr>
          <w:color w:val="000000" w:themeColor="text1"/>
        </w:rPr>
        <w:t xml:space="preserve">phải nộp phí cho cơ quan thu phí nêu tại điểm </w:t>
      </w:r>
      <w:r>
        <w:rPr>
          <w:color w:val="000000" w:themeColor="text1"/>
        </w:rPr>
        <w:t>6</w:t>
      </w:r>
      <w:r w:rsidR="00F62BDC">
        <w:rPr>
          <w:color w:val="000000" w:themeColor="text1"/>
        </w:rPr>
        <w:t xml:space="preserve"> Mục I</w:t>
      </w:r>
      <w:r w:rsidR="00F62BDC" w:rsidRPr="00B225D6">
        <w:rPr>
          <w:color w:val="000000" w:themeColor="text1"/>
        </w:rPr>
        <w:t>V</w:t>
      </w:r>
      <w:r w:rsidRPr="00A01832">
        <w:rPr>
          <w:color w:val="000000" w:themeColor="text1"/>
        </w:rPr>
        <w:t xml:space="preserve"> Đề án này.</w:t>
      </w:r>
    </w:p>
    <w:p w14:paraId="1DA34A95" w14:textId="11BB8E8D" w:rsidR="003730AD" w:rsidRPr="00A01832" w:rsidRDefault="003730AD" w:rsidP="00312AB6">
      <w:pPr>
        <w:widowControl w:val="0"/>
        <w:spacing w:before="120" w:after="120"/>
        <w:ind w:firstLine="567"/>
        <w:rPr>
          <w:color w:val="000000" w:themeColor="text1"/>
        </w:rPr>
      </w:pPr>
      <w:r w:rsidRPr="00A01832">
        <w:rPr>
          <w:color w:val="000000" w:themeColor="text1"/>
        </w:rPr>
        <w:t xml:space="preserve">- Phí được nộp đủ một lần sau khi có </w:t>
      </w:r>
      <w:r w:rsidR="006B2D59">
        <w:rPr>
          <w:color w:val="000000" w:themeColor="text1"/>
        </w:rPr>
        <w:t>văn bản đề nghị</w:t>
      </w:r>
      <w:r w:rsidRPr="00A01832">
        <w:rPr>
          <w:color w:val="000000" w:themeColor="text1"/>
        </w:rPr>
        <w:t xml:space="preserve"> nộp phí của cơ quan tiếp nhận hồ sơ</w:t>
      </w:r>
      <w:r w:rsidR="006B2D59">
        <w:rPr>
          <w:color w:val="000000" w:themeColor="text1"/>
        </w:rPr>
        <w:t xml:space="preserve"> và trước khi tiến hành phiên họp chính thức của hội đồng thẩm định</w:t>
      </w:r>
      <w:r w:rsidR="0066705F">
        <w:rPr>
          <w:color w:val="000000" w:themeColor="text1"/>
        </w:rPr>
        <w:t>/đoàn kiểm tra</w:t>
      </w:r>
      <w:r w:rsidR="006B2D59">
        <w:rPr>
          <w:color w:val="000000" w:themeColor="text1"/>
        </w:rPr>
        <w:t xml:space="preserve"> </w:t>
      </w:r>
      <w:r w:rsidR="00732A33">
        <w:rPr>
          <w:color w:val="000000" w:themeColor="text1"/>
        </w:rPr>
        <w:t>cấp, cấp lại, điều chỉnh giấy phép môi trường</w:t>
      </w:r>
      <w:r w:rsidRPr="00A01832">
        <w:rPr>
          <w:color w:val="000000" w:themeColor="text1"/>
        </w:rPr>
        <w:t>.</w:t>
      </w:r>
    </w:p>
    <w:p w14:paraId="1C70F512" w14:textId="0112CB4B" w:rsidR="003730AD" w:rsidRPr="00A01832" w:rsidRDefault="003730AD" w:rsidP="00312AB6">
      <w:pPr>
        <w:widowControl w:val="0"/>
        <w:spacing w:before="120" w:after="120"/>
        <w:ind w:firstLine="567"/>
        <w:rPr>
          <w:color w:val="000000" w:themeColor="text1"/>
        </w:rPr>
      </w:pPr>
      <w:r w:rsidRPr="00A01832">
        <w:rPr>
          <w:color w:val="000000" w:themeColor="text1"/>
        </w:rPr>
        <w:t xml:space="preserve">- Cơ quan nhà nước có thẩm quyền </w:t>
      </w:r>
      <w:r w:rsidR="00DE577F">
        <w:rPr>
          <w:color w:val="000000" w:themeColor="text1"/>
        </w:rPr>
        <w:t>thẩm định</w:t>
      </w:r>
      <w:r w:rsidR="00B225D6" w:rsidRPr="00B225D6">
        <w:rPr>
          <w:noProof/>
          <w:color w:val="000000" w:themeColor="text1"/>
        </w:rPr>
        <w:t xml:space="preserve"> </w:t>
      </w:r>
      <w:r w:rsidR="00B225D6" w:rsidRPr="007C40D3">
        <w:rPr>
          <w:noProof/>
          <w:color w:val="000000" w:themeColor="text1"/>
        </w:rPr>
        <w:t>h</w:t>
      </w:r>
      <w:r w:rsidR="00B225D6" w:rsidRPr="00665F6B">
        <w:rPr>
          <w:noProof/>
          <w:color w:val="000000" w:themeColor="text1"/>
        </w:rPr>
        <w:t xml:space="preserve">oặc được ủy quyền </w:t>
      </w:r>
      <w:r w:rsidR="00732A33">
        <w:rPr>
          <w:color w:val="000000" w:themeColor="text1"/>
        </w:rPr>
        <w:t>cấp, cấp lại, điều chỉnh giấy phép môi trường</w:t>
      </w:r>
      <w:r w:rsidR="00AB2C4B" w:rsidRPr="00C23BD1">
        <w:rPr>
          <w:color w:val="000000" w:themeColor="text1"/>
        </w:rPr>
        <w:t xml:space="preserve"> </w:t>
      </w:r>
      <w:r w:rsidRPr="00A01832">
        <w:rPr>
          <w:color w:val="000000" w:themeColor="text1"/>
        </w:rPr>
        <w:t xml:space="preserve">có nhiệm vụ tổ chức thu phí theo quy định của pháp luật về tài chính hiện hành. </w:t>
      </w:r>
    </w:p>
    <w:p w14:paraId="34767D32" w14:textId="77777777" w:rsidR="00E22AFA" w:rsidRDefault="00E22AFA" w:rsidP="00312AB6">
      <w:pPr>
        <w:widowControl w:val="0"/>
        <w:spacing w:before="120" w:after="120"/>
        <w:ind w:firstLine="567"/>
        <w:rPr>
          <w:b/>
          <w:color w:val="000000" w:themeColor="text1"/>
        </w:rPr>
      </w:pPr>
      <w:r>
        <w:rPr>
          <w:b/>
          <w:color w:val="000000" w:themeColor="text1"/>
        </w:rPr>
        <w:t xml:space="preserve">3. Dự kiến mức thu và </w:t>
      </w:r>
      <w:r>
        <w:rPr>
          <w:rFonts w:eastAsia="Times"/>
          <w:b/>
          <w:color w:val="000000" w:themeColor="text1"/>
        </w:rPr>
        <w:t>căn cứ xây dựng mức thu</w:t>
      </w:r>
    </w:p>
    <w:p w14:paraId="40ADAFD8" w14:textId="77777777" w:rsidR="007C40D3" w:rsidRPr="00CF40C1" w:rsidRDefault="00CF40C1" w:rsidP="007C40D3">
      <w:pPr>
        <w:widowControl w:val="0"/>
        <w:spacing w:before="120" w:after="120"/>
        <w:ind w:firstLine="567"/>
        <w:rPr>
          <w:bCs/>
          <w:color w:val="000000" w:themeColor="text1"/>
        </w:rPr>
      </w:pPr>
      <w:r w:rsidRPr="00CF40C1">
        <w:rPr>
          <w:bCs/>
          <w:color w:val="000000" w:themeColor="text1"/>
        </w:rPr>
        <w:t>a)</w:t>
      </w:r>
      <w:r w:rsidR="00E22AFA" w:rsidRPr="00CF40C1">
        <w:rPr>
          <w:bCs/>
          <w:color w:val="000000" w:themeColor="text1"/>
        </w:rPr>
        <w:t xml:space="preserve"> </w:t>
      </w:r>
      <w:r w:rsidR="007C40D3" w:rsidRPr="00CF40C1">
        <w:rPr>
          <w:bCs/>
          <w:color w:val="000000" w:themeColor="text1"/>
        </w:rPr>
        <w:t xml:space="preserve">Nguyên tắc xác định mức thu phí </w:t>
      </w:r>
    </w:p>
    <w:p w14:paraId="623FD2A6" w14:textId="77777777" w:rsidR="007C40D3" w:rsidRPr="00A01832" w:rsidRDefault="007C40D3" w:rsidP="007C40D3">
      <w:pPr>
        <w:widowControl w:val="0"/>
        <w:spacing w:before="120" w:after="120"/>
        <w:ind w:firstLine="567"/>
        <w:rPr>
          <w:color w:val="000000" w:themeColor="text1"/>
        </w:rPr>
      </w:pPr>
      <w:r w:rsidRPr="00A01832">
        <w:rPr>
          <w:color w:val="000000" w:themeColor="text1"/>
        </w:rPr>
        <w:t xml:space="preserve">Nguyên tắc chỉ đạo xác định mức thu phí quy định tại Điều 8 Luật Phí và Lệ phí là </w:t>
      </w:r>
      <w:r>
        <w:rPr>
          <w:color w:val="000000" w:themeColor="text1"/>
        </w:rPr>
        <w:t>“</w:t>
      </w:r>
      <w:r w:rsidRPr="00A01832">
        <w:rPr>
          <w:i/>
          <w:color w:val="000000" w:themeColor="text1"/>
        </w:rPr>
        <w:t>đảm bảo bù đắp chi phí, có tính đến chính sách phát triển kinh tế - xã hội</w:t>
      </w:r>
      <w:r w:rsidRPr="00A01832">
        <w:rPr>
          <w:b/>
          <w:i/>
          <w:color w:val="000000" w:themeColor="text1"/>
        </w:rPr>
        <w:t xml:space="preserve"> </w:t>
      </w:r>
      <w:r w:rsidRPr="00A01832">
        <w:rPr>
          <w:i/>
          <w:color w:val="000000" w:themeColor="text1"/>
        </w:rPr>
        <w:t>của Nhà nước trong từng thời kỳ, bảo đảm công bằng, công khai, minh bạch và bình đẳng về quyền và nghĩa vụ của công dân</w:t>
      </w:r>
      <w:r w:rsidRPr="00A01832">
        <w:rPr>
          <w:color w:val="000000" w:themeColor="text1"/>
        </w:rPr>
        <w:t>”.</w:t>
      </w:r>
    </w:p>
    <w:p w14:paraId="45811AB2" w14:textId="77777777" w:rsidR="007C40D3" w:rsidRPr="00A01832" w:rsidRDefault="007C40D3" w:rsidP="007C40D3">
      <w:pPr>
        <w:widowControl w:val="0"/>
        <w:spacing w:before="120" w:after="120"/>
        <w:ind w:firstLine="567"/>
        <w:rPr>
          <w:color w:val="000000" w:themeColor="text1"/>
        </w:rPr>
      </w:pPr>
      <w:r w:rsidRPr="00A01832">
        <w:rPr>
          <w:color w:val="000000" w:themeColor="text1"/>
        </w:rPr>
        <w:lastRenderedPageBreak/>
        <w:t>Trên cơ sở nguyên tắc chỉ đạo, mức thu phí được xác định trong Đề án này phải đảm bảo những nguyên tắc cơ bản sau:</w:t>
      </w:r>
    </w:p>
    <w:p w14:paraId="04EA0A31" w14:textId="77777777" w:rsidR="007C40D3" w:rsidRPr="00A01832" w:rsidRDefault="007C40D3" w:rsidP="007C40D3">
      <w:pPr>
        <w:widowControl w:val="0"/>
        <w:spacing w:before="120" w:after="120"/>
        <w:ind w:firstLine="567"/>
        <w:rPr>
          <w:color w:val="000000" w:themeColor="text1"/>
        </w:rPr>
      </w:pPr>
      <w:r w:rsidRPr="00A01832">
        <w:rPr>
          <w:color w:val="000000" w:themeColor="text1"/>
        </w:rPr>
        <w:t>- Phù hợp với các quy định hiện hành của Nhà nước về phí và lệ phí;</w:t>
      </w:r>
    </w:p>
    <w:p w14:paraId="2195A004" w14:textId="77777777" w:rsidR="007C40D3" w:rsidRPr="00A01832" w:rsidRDefault="007C40D3" w:rsidP="007C40D3">
      <w:pPr>
        <w:widowControl w:val="0"/>
        <w:spacing w:before="120" w:after="120"/>
        <w:ind w:firstLine="567"/>
        <w:rPr>
          <w:color w:val="000000" w:themeColor="text1"/>
        </w:rPr>
      </w:pPr>
      <w:r w:rsidRPr="00A01832">
        <w:rPr>
          <w:color w:val="000000" w:themeColor="text1"/>
        </w:rPr>
        <w:t>- Đảm bảo công bằng trong việc nộp phí;</w:t>
      </w:r>
    </w:p>
    <w:p w14:paraId="0428855C" w14:textId="35B803F6" w:rsidR="007C40D3" w:rsidRPr="00A01832" w:rsidRDefault="007C40D3" w:rsidP="007C40D3">
      <w:pPr>
        <w:widowControl w:val="0"/>
        <w:spacing w:before="120" w:after="120"/>
        <w:ind w:firstLine="567"/>
        <w:rPr>
          <w:color w:val="000000" w:themeColor="text1"/>
        </w:rPr>
      </w:pPr>
      <w:r w:rsidRPr="00A01832">
        <w:rPr>
          <w:color w:val="000000" w:themeColor="text1"/>
        </w:rPr>
        <w:t xml:space="preserve">- Được tính đủ để đảm bảo ở mức tối thiểu chi trả cho tất cả các hoạt động </w:t>
      </w:r>
      <w:r>
        <w:rPr>
          <w:color w:val="000000" w:themeColor="text1"/>
        </w:rPr>
        <w:t xml:space="preserve">thẩm định </w:t>
      </w:r>
      <w:r w:rsidR="00732A33">
        <w:rPr>
          <w:color w:val="000000" w:themeColor="text1"/>
        </w:rPr>
        <w:t>cấp, cấp lại, điều chỉnh giấy phép môi trường</w:t>
      </w:r>
      <w:r w:rsidRPr="00A01832">
        <w:rPr>
          <w:color w:val="000000" w:themeColor="text1"/>
        </w:rPr>
        <w:t>;</w:t>
      </w:r>
    </w:p>
    <w:p w14:paraId="2190CDFA" w14:textId="77777777" w:rsidR="00FB0A57" w:rsidRPr="00665F6B" w:rsidRDefault="00FB0A57" w:rsidP="00FB0A57">
      <w:pPr>
        <w:widowControl w:val="0"/>
        <w:spacing w:before="120" w:after="120"/>
        <w:ind w:firstLine="567"/>
        <w:rPr>
          <w:bCs/>
          <w:noProof/>
          <w:color w:val="000000" w:themeColor="text1"/>
        </w:rPr>
      </w:pPr>
      <w:r w:rsidRPr="00665F6B">
        <w:rPr>
          <w:bCs/>
          <w:noProof/>
          <w:color w:val="000000" w:themeColor="text1"/>
        </w:rPr>
        <w:t>-</w:t>
      </w:r>
      <w:r w:rsidRPr="00665F6B">
        <w:rPr>
          <w:bCs/>
          <w:noProof/>
          <w:color w:val="000000" w:themeColor="text1"/>
        </w:rPr>
        <w:tab/>
        <w:t>Đáp ứng được yêu cầu trước mắt và đồng thời phải thích ứng được với sự biến đổi có thể xảy ra trong tương lai;</w:t>
      </w:r>
    </w:p>
    <w:p w14:paraId="4B3AA219" w14:textId="77777777" w:rsidR="007C40D3" w:rsidRPr="00A01832" w:rsidRDefault="007C40D3" w:rsidP="007C40D3">
      <w:pPr>
        <w:widowControl w:val="0"/>
        <w:spacing w:before="120" w:after="120"/>
        <w:ind w:firstLine="567"/>
        <w:rPr>
          <w:color w:val="000000" w:themeColor="text1"/>
        </w:rPr>
      </w:pPr>
      <w:r w:rsidRPr="00A01832">
        <w:rPr>
          <w:color w:val="000000" w:themeColor="text1"/>
        </w:rPr>
        <w:t>- Phù hợp với khả năng đóng góp của đối tượng nộp phí;</w:t>
      </w:r>
    </w:p>
    <w:p w14:paraId="23696E5A" w14:textId="77777777" w:rsidR="007C40D3" w:rsidRPr="00A01832" w:rsidRDefault="007C40D3" w:rsidP="007C40D3">
      <w:pPr>
        <w:widowControl w:val="0"/>
        <w:spacing w:before="120" w:after="120"/>
        <w:ind w:firstLine="567"/>
        <w:rPr>
          <w:color w:val="000000" w:themeColor="text1"/>
        </w:rPr>
      </w:pPr>
      <w:r w:rsidRPr="00A01832">
        <w:rPr>
          <w:color w:val="000000" w:themeColor="text1"/>
        </w:rPr>
        <w:t>- Cụ thể và dễ dàng cho việc tính toán, thu phí.</w:t>
      </w:r>
    </w:p>
    <w:p w14:paraId="1EBB414C" w14:textId="77777777" w:rsidR="007C40D3" w:rsidRPr="00C438FC" w:rsidRDefault="007C40D3" w:rsidP="007C40D3">
      <w:pPr>
        <w:widowControl w:val="0"/>
        <w:spacing w:before="120" w:after="120"/>
        <w:ind w:firstLine="567"/>
        <w:rPr>
          <w:bCs/>
          <w:color w:val="000000" w:themeColor="text1"/>
        </w:rPr>
      </w:pPr>
      <w:bookmarkStart w:id="7" w:name="_heading=h.3dy6vkm" w:colFirst="0" w:colLast="0"/>
      <w:bookmarkEnd w:id="7"/>
      <w:r w:rsidRPr="00FB0A57">
        <w:rPr>
          <w:bCs/>
          <w:color w:val="000000" w:themeColor="text1"/>
        </w:rPr>
        <w:t>b</w:t>
      </w:r>
      <w:r>
        <w:rPr>
          <w:bCs/>
          <w:color w:val="000000" w:themeColor="text1"/>
        </w:rPr>
        <w:t>)</w:t>
      </w:r>
      <w:r w:rsidRPr="00C438FC">
        <w:rPr>
          <w:bCs/>
          <w:color w:val="000000" w:themeColor="text1"/>
        </w:rPr>
        <w:t xml:space="preserve"> Căn cứ xây dựng mức thu phí</w:t>
      </w:r>
    </w:p>
    <w:p w14:paraId="10C4C8D8" w14:textId="39997908" w:rsidR="007C40D3" w:rsidRPr="00A01832" w:rsidRDefault="007C40D3" w:rsidP="007C40D3">
      <w:pPr>
        <w:widowControl w:val="0"/>
        <w:spacing w:before="120" w:after="120"/>
        <w:ind w:firstLine="567"/>
        <w:rPr>
          <w:color w:val="000000" w:themeColor="text1"/>
        </w:rPr>
      </w:pPr>
      <w:r w:rsidRPr="00070968">
        <w:rPr>
          <w:color w:val="000000" w:themeColor="text1"/>
        </w:rPr>
        <w:t xml:space="preserve">Mức thu được xác định trên cơ sở nội dung công việc cần thực hiện theo quy định tại </w:t>
      </w:r>
      <w:r w:rsidRPr="00861A7A">
        <w:rPr>
          <w:color w:val="000000" w:themeColor="text1"/>
        </w:rPr>
        <w:t>Luật Bảo vệ môi trường năm 2020</w:t>
      </w:r>
      <w:r w:rsidR="00393A5F">
        <w:rPr>
          <w:color w:val="000000" w:themeColor="text1"/>
        </w:rPr>
        <w:t>;</w:t>
      </w:r>
      <w:r w:rsidRPr="00861A7A">
        <w:rPr>
          <w:color w:val="000000" w:themeColor="text1"/>
        </w:rPr>
        <w:t xml:space="preserve"> </w:t>
      </w:r>
      <w:r w:rsidRPr="00D769A8">
        <w:rPr>
          <w:color w:val="000000" w:themeColor="text1"/>
        </w:rPr>
        <w:t>Nghị định số 08/2022/NĐ-CP ngày 10</w:t>
      </w:r>
      <w:r w:rsidR="005B1791">
        <w:rPr>
          <w:color w:val="000000" w:themeColor="text1"/>
        </w:rPr>
        <w:t>/</w:t>
      </w:r>
      <w:r w:rsidRPr="00D769A8">
        <w:rPr>
          <w:color w:val="000000" w:themeColor="text1"/>
        </w:rPr>
        <w:t>01</w:t>
      </w:r>
      <w:r w:rsidR="005B1791">
        <w:rPr>
          <w:color w:val="000000" w:themeColor="text1"/>
        </w:rPr>
        <w:t>/</w:t>
      </w:r>
      <w:r w:rsidRPr="00D769A8">
        <w:rPr>
          <w:color w:val="000000" w:themeColor="text1"/>
        </w:rPr>
        <w:t>2022 của Chính phủ</w:t>
      </w:r>
      <w:r w:rsidRPr="00070968">
        <w:rPr>
          <w:color w:val="000000" w:themeColor="text1"/>
        </w:rPr>
        <w:t xml:space="preserve"> </w:t>
      </w:r>
      <w:r w:rsidR="005B1791">
        <w:rPr>
          <w:color w:val="000000" w:themeColor="text1"/>
        </w:rPr>
        <w:t>được sửa đổi, bổ sung bởi Nghị định số 05/2025/NĐ-CP ngày 06/01/2025</w:t>
      </w:r>
      <w:r w:rsidR="005B1791" w:rsidRPr="005B1791">
        <w:rPr>
          <w:color w:val="000000" w:themeColor="text1"/>
        </w:rPr>
        <w:t xml:space="preserve"> </w:t>
      </w:r>
      <w:r w:rsidR="005B1791" w:rsidRPr="00D769A8">
        <w:rPr>
          <w:color w:val="000000" w:themeColor="text1"/>
        </w:rPr>
        <w:t>của Chính phủ</w:t>
      </w:r>
      <w:r w:rsidR="00393A5F">
        <w:rPr>
          <w:color w:val="000000" w:themeColor="text1"/>
        </w:rPr>
        <w:t>;</w:t>
      </w:r>
      <w:r w:rsidRPr="00D769A8">
        <w:rPr>
          <w:color w:val="000000" w:themeColor="text1"/>
        </w:rPr>
        <w:t xml:space="preserve"> </w:t>
      </w:r>
      <w:r w:rsidRPr="00070968">
        <w:rPr>
          <w:color w:val="000000" w:themeColor="text1"/>
        </w:rPr>
        <w:t>T</w:t>
      </w:r>
      <w:r w:rsidRPr="00D769A8">
        <w:rPr>
          <w:color w:val="000000" w:themeColor="text1"/>
        </w:rPr>
        <w:t>hông tư số 02/2022/TT-BTNMT ngày 10</w:t>
      </w:r>
      <w:r w:rsidR="00393A5F">
        <w:rPr>
          <w:color w:val="000000" w:themeColor="text1"/>
        </w:rPr>
        <w:t>/</w:t>
      </w:r>
      <w:r w:rsidRPr="00D769A8">
        <w:rPr>
          <w:color w:val="000000" w:themeColor="text1"/>
        </w:rPr>
        <w:t>01</w:t>
      </w:r>
      <w:r w:rsidR="00393A5F">
        <w:rPr>
          <w:color w:val="000000" w:themeColor="text1"/>
        </w:rPr>
        <w:t>/</w:t>
      </w:r>
      <w:r w:rsidRPr="00D769A8">
        <w:rPr>
          <w:color w:val="000000" w:themeColor="text1"/>
        </w:rPr>
        <w:t>2022 của Bộ trưởng Bộ Tài nguyên và Môi trường</w:t>
      </w:r>
      <w:r w:rsidRPr="00070968">
        <w:rPr>
          <w:color w:val="000000" w:themeColor="text1"/>
        </w:rPr>
        <w:t xml:space="preserve"> </w:t>
      </w:r>
      <w:r w:rsidR="00393A5F">
        <w:rPr>
          <w:color w:val="000000" w:themeColor="text1"/>
        </w:rPr>
        <w:t xml:space="preserve">được sửa đổi, bổ sung bởi Thông tư số 07/2025/TT-BTNMT ngày 28/02/2025 của </w:t>
      </w:r>
      <w:r w:rsidR="00393A5F" w:rsidRPr="00D769A8">
        <w:rPr>
          <w:color w:val="000000" w:themeColor="text1"/>
        </w:rPr>
        <w:t>Bộ trưởng Bộ Tài nguyên và Môi trường</w:t>
      </w:r>
      <w:r w:rsidR="00393A5F">
        <w:rPr>
          <w:color w:val="000000" w:themeColor="text1"/>
        </w:rPr>
        <w:t xml:space="preserve">; </w:t>
      </w:r>
      <w:r>
        <w:rPr>
          <w:color w:val="000000" w:themeColor="text1"/>
        </w:rPr>
        <w:t>Thông tư số 02/2017/TT-BTC ngày 06</w:t>
      </w:r>
      <w:r w:rsidR="005543EE">
        <w:rPr>
          <w:color w:val="000000" w:themeColor="text1"/>
        </w:rPr>
        <w:t>/</w:t>
      </w:r>
      <w:r>
        <w:rPr>
          <w:color w:val="000000" w:themeColor="text1"/>
        </w:rPr>
        <w:t>01</w:t>
      </w:r>
      <w:r w:rsidR="005543EE">
        <w:rPr>
          <w:color w:val="000000" w:themeColor="text1"/>
        </w:rPr>
        <w:t>/</w:t>
      </w:r>
      <w:r>
        <w:rPr>
          <w:color w:val="000000" w:themeColor="text1"/>
        </w:rPr>
        <w:t>2017 của Bộ trưởng Bộ Tài chính hướng dẫn việc quản lý kinh phí sự nghiệp môi trường</w:t>
      </w:r>
      <w:r w:rsidRPr="00070968">
        <w:rPr>
          <w:color w:val="000000" w:themeColor="text1"/>
        </w:rPr>
        <w:t>, các văn bản hướng dẫn chế độ, định mức chi tiêu tài chính hiện hành. Mức</w:t>
      </w:r>
      <w:r w:rsidRPr="00A01832">
        <w:rPr>
          <w:color w:val="000000" w:themeColor="text1"/>
        </w:rPr>
        <w:t xml:space="preserve"> phí xác định trong đề án này căn cứ các tiêu chí sau:</w:t>
      </w:r>
    </w:p>
    <w:p w14:paraId="6859BDD7" w14:textId="268392CB" w:rsidR="007C40D3" w:rsidRPr="0076092F" w:rsidRDefault="007C40D3" w:rsidP="007C40D3">
      <w:pPr>
        <w:widowControl w:val="0"/>
        <w:spacing w:before="120" w:after="120"/>
        <w:ind w:firstLine="567"/>
        <w:rPr>
          <w:color w:val="000000" w:themeColor="text1"/>
          <w:spacing w:val="-2"/>
        </w:rPr>
      </w:pPr>
      <w:r w:rsidRPr="0076092F">
        <w:rPr>
          <w:color w:val="000000" w:themeColor="text1"/>
          <w:spacing w:val="-2"/>
        </w:rPr>
        <w:t xml:space="preserve">- Đối tượng đề nghị </w:t>
      </w:r>
      <w:r w:rsidR="00732A33">
        <w:rPr>
          <w:color w:val="000000" w:themeColor="text1"/>
          <w:spacing w:val="-2"/>
        </w:rPr>
        <w:t>cấp, cấp lại, điều chỉnh giấy phép môi trường</w:t>
      </w:r>
      <w:r w:rsidRPr="0076092F">
        <w:rPr>
          <w:color w:val="000000" w:themeColor="text1"/>
          <w:spacing w:val="-2"/>
        </w:rPr>
        <w:t>;</w:t>
      </w:r>
    </w:p>
    <w:p w14:paraId="55D4C3DC" w14:textId="4AB3F28F" w:rsidR="007C40D3" w:rsidRPr="00A01832" w:rsidRDefault="007C40D3" w:rsidP="007C40D3">
      <w:pPr>
        <w:widowControl w:val="0"/>
        <w:spacing w:before="120" w:after="120"/>
        <w:ind w:firstLine="567"/>
        <w:rPr>
          <w:color w:val="000000" w:themeColor="text1"/>
        </w:rPr>
      </w:pPr>
      <w:r w:rsidRPr="00A01832">
        <w:rPr>
          <w:color w:val="000000" w:themeColor="text1"/>
        </w:rPr>
        <w:t xml:space="preserve">- Nội dung các hoạt động phải thực hiện đối với </w:t>
      </w:r>
      <w:r>
        <w:rPr>
          <w:color w:val="000000" w:themeColor="text1"/>
        </w:rPr>
        <w:t xml:space="preserve">hoạt động thẩm định </w:t>
      </w:r>
      <w:r w:rsidR="00732A33">
        <w:rPr>
          <w:color w:val="000000" w:themeColor="text1"/>
        </w:rPr>
        <w:t>cấp, cấp lại, điều chỉnh giấy phép môi trường</w:t>
      </w:r>
      <w:r w:rsidRPr="00A01832">
        <w:rPr>
          <w:color w:val="000000" w:themeColor="text1"/>
        </w:rPr>
        <w:t xml:space="preserve">: </w:t>
      </w:r>
      <w:r>
        <w:rPr>
          <w:color w:val="000000" w:themeColor="text1"/>
        </w:rPr>
        <w:t>k</w:t>
      </w:r>
      <w:r w:rsidRPr="00A01832">
        <w:rPr>
          <w:color w:val="000000" w:themeColor="text1"/>
        </w:rPr>
        <w:t>hối lượng công việc của hoạt động xem xét, nghiên cứu hồ sơ, phân tích số liệu, k</w:t>
      </w:r>
      <w:r>
        <w:rPr>
          <w:color w:val="000000" w:themeColor="text1"/>
        </w:rPr>
        <w:t>hảo sát</w:t>
      </w:r>
      <w:r w:rsidRPr="00A01832">
        <w:rPr>
          <w:color w:val="000000" w:themeColor="text1"/>
        </w:rPr>
        <w:t xml:space="preserve"> thực tế</w:t>
      </w:r>
      <w:r>
        <w:rPr>
          <w:color w:val="000000" w:themeColor="text1"/>
        </w:rPr>
        <w:t>.</w:t>
      </w:r>
    </w:p>
    <w:p w14:paraId="5E6AB832" w14:textId="20A3306B" w:rsidR="007C40D3" w:rsidRPr="00A01832" w:rsidRDefault="007C40D3" w:rsidP="007C40D3">
      <w:pPr>
        <w:widowControl w:val="0"/>
        <w:spacing w:before="120" w:after="120"/>
        <w:ind w:firstLine="567"/>
        <w:rPr>
          <w:color w:val="000000" w:themeColor="text1"/>
        </w:rPr>
      </w:pPr>
      <w:r w:rsidRPr="00A01832">
        <w:rPr>
          <w:color w:val="000000" w:themeColor="text1"/>
        </w:rPr>
        <w:t xml:space="preserve">Mức thu phí là mức kinh phí tối thiểu để đảm bảo chi phí cho các hoạt động cần thiết của cơ quan có thẩm quyền </w:t>
      </w:r>
      <w:r w:rsidR="00732A33">
        <w:rPr>
          <w:color w:val="000000" w:themeColor="text1"/>
        </w:rPr>
        <w:t>cấp, cấp lại, điều chỉnh giấy phép môi trường</w:t>
      </w:r>
      <w:r w:rsidR="00034E9E" w:rsidRPr="00A01832">
        <w:rPr>
          <w:color w:val="000000" w:themeColor="text1"/>
        </w:rPr>
        <w:t xml:space="preserve"> </w:t>
      </w:r>
      <w:r w:rsidRPr="00A01832">
        <w:rPr>
          <w:color w:val="000000" w:themeColor="text1"/>
        </w:rPr>
        <w:t>tuân thủ đúng theo quy định của pháp luật hiện hành bao gồm:</w:t>
      </w:r>
    </w:p>
    <w:p w14:paraId="3F2937DF" w14:textId="77777777" w:rsidR="007C40D3" w:rsidRPr="00FB0A57" w:rsidRDefault="007C40D3" w:rsidP="007C40D3">
      <w:pPr>
        <w:widowControl w:val="0"/>
        <w:spacing w:before="120" w:after="120"/>
        <w:ind w:firstLine="567"/>
        <w:rPr>
          <w:color w:val="000000" w:themeColor="text1"/>
        </w:rPr>
      </w:pPr>
      <w:r w:rsidRPr="00A01832">
        <w:rPr>
          <w:color w:val="000000" w:themeColor="text1"/>
        </w:rPr>
        <w:t xml:space="preserve">* </w:t>
      </w:r>
      <w:r>
        <w:rPr>
          <w:color w:val="000000" w:themeColor="text1"/>
        </w:rPr>
        <w:t xml:space="preserve">Chi phí </w:t>
      </w:r>
      <w:r w:rsidRPr="00070968">
        <w:rPr>
          <w:color w:val="000000" w:themeColor="text1"/>
        </w:rPr>
        <w:t>thuê xe</w:t>
      </w:r>
      <w:r>
        <w:rPr>
          <w:color w:val="000000" w:themeColor="text1"/>
        </w:rPr>
        <w:t xml:space="preserve"> khảo sát thực tế dự án </w:t>
      </w:r>
      <w:r w:rsidR="00FB0A57">
        <w:rPr>
          <w:color w:val="000000" w:themeColor="text1"/>
        </w:rPr>
        <w:t>phục vụ cho hoạt động thẩm định</w:t>
      </w:r>
      <w:r w:rsidR="00FB0A57" w:rsidRPr="00FB0A57">
        <w:rPr>
          <w:color w:val="000000" w:themeColor="text1"/>
        </w:rPr>
        <w:t>.</w:t>
      </w:r>
    </w:p>
    <w:p w14:paraId="2B513A75" w14:textId="5F377C9E" w:rsidR="007C40D3" w:rsidRPr="00A01832" w:rsidRDefault="007C40D3" w:rsidP="007C40D3">
      <w:pPr>
        <w:widowControl w:val="0"/>
        <w:spacing w:before="120" w:after="120"/>
        <w:ind w:firstLine="567"/>
        <w:rPr>
          <w:color w:val="000000" w:themeColor="text1"/>
        </w:rPr>
      </w:pPr>
      <w:r>
        <w:rPr>
          <w:color w:val="000000" w:themeColor="text1"/>
        </w:rPr>
        <w:t xml:space="preserve">* </w:t>
      </w:r>
      <w:r w:rsidRPr="00A01832">
        <w:rPr>
          <w:color w:val="000000" w:themeColor="text1"/>
        </w:rPr>
        <w:t xml:space="preserve">Chi phí </w:t>
      </w:r>
      <w:r>
        <w:rPr>
          <w:color w:val="000000" w:themeColor="text1"/>
        </w:rPr>
        <w:t>tổ chức phiên</w:t>
      </w:r>
      <w:r w:rsidRPr="00A01832">
        <w:rPr>
          <w:color w:val="000000" w:themeColor="text1"/>
        </w:rPr>
        <w:t xml:space="preserve"> họp </w:t>
      </w:r>
      <w:r>
        <w:rPr>
          <w:color w:val="000000" w:themeColor="text1"/>
        </w:rPr>
        <w:t xml:space="preserve">chính thức của </w:t>
      </w:r>
      <w:r w:rsidRPr="00A01832">
        <w:rPr>
          <w:color w:val="000000" w:themeColor="text1"/>
        </w:rPr>
        <w:t>Hội đồng thẩm định</w:t>
      </w:r>
      <w:r w:rsidR="003E4457">
        <w:rPr>
          <w:color w:val="000000" w:themeColor="text1"/>
        </w:rPr>
        <w:t>, đoàn kiểm tra</w:t>
      </w:r>
      <w:r w:rsidRPr="00A01832">
        <w:rPr>
          <w:color w:val="000000" w:themeColor="text1"/>
        </w:rPr>
        <w:t xml:space="preserve"> </w:t>
      </w:r>
      <w:r w:rsidR="00732A33">
        <w:rPr>
          <w:color w:val="000000" w:themeColor="text1"/>
        </w:rPr>
        <w:t>cấp, cấp lại, điều chỉnh giấy phép môi trường</w:t>
      </w:r>
      <w:r>
        <w:rPr>
          <w:color w:val="000000" w:themeColor="text1"/>
        </w:rPr>
        <w:t>,</w:t>
      </w:r>
      <w:r w:rsidRPr="00A01832">
        <w:rPr>
          <w:color w:val="000000" w:themeColor="text1"/>
        </w:rPr>
        <w:t xml:space="preserve"> bao gồm: </w:t>
      </w:r>
    </w:p>
    <w:p w14:paraId="663C692D" w14:textId="5EA3823A" w:rsidR="007C40D3" w:rsidRPr="008E49D0" w:rsidRDefault="007C40D3" w:rsidP="007C40D3">
      <w:pPr>
        <w:widowControl w:val="0"/>
        <w:spacing w:before="120" w:after="120"/>
        <w:ind w:firstLine="567"/>
        <w:rPr>
          <w:color w:val="000000" w:themeColor="text1"/>
        </w:rPr>
      </w:pPr>
      <w:r w:rsidRPr="008E49D0">
        <w:rPr>
          <w:color w:val="000000" w:themeColor="text1"/>
        </w:rPr>
        <w:t xml:space="preserve">- </w:t>
      </w:r>
      <w:r w:rsidRPr="00A01832">
        <w:rPr>
          <w:color w:val="000000" w:themeColor="text1"/>
        </w:rPr>
        <w:t xml:space="preserve">Thù lao cho các thành viên tham dự phiên họp chính thức của </w:t>
      </w:r>
      <w:r w:rsidRPr="008E49D0">
        <w:rPr>
          <w:color w:val="000000" w:themeColor="text1"/>
        </w:rPr>
        <w:t>Hội đồng thẩm định</w:t>
      </w:r>
      <w:r w:rsidR="003219FA">
        <w:rPr>
          <w:color w:val="000000" w:themeColor="text1"/>
        </w:rPr>
        <w:t>, thành viên tham dự Đoàn kiểm tra</w:t>
      </w:r>
      <w:r w:rsidRPr="008E49D0">
        <w:rPr>
          <w:color w:val="000000" w:themeColor="text1"/>
        </w:rPr>
        <w:t>;</w:t>
      </w:r>
    </w:p>
    <w:p w14:paraId="369BD8E9" w14:textId="727DEED4" w:rsidR="007C40D3" w:rsidRDefault="007C40D3" w:rsidP="007C40D3">
      <w:pPr>
        <w:widowControl w:val="0"/>
        <w:spacing w:before="120" w:after="120"/>
        <w:ind w:firstLine="567"/>
        <w:rPr>
          <w:color w:val="000000" w:themeColor="text1"/>
        </w:rPr>
      </w:pPr>
      <w:r w:rsidRPr="00A01832">
        <w:rPr>
          <w:color w:val="000000" w:themeColor="text1"/>
        </w:rPr>
        <w:t>- Thù lao cho việc nghiên cứu và viết nhận xét của các thành viên Hội đồng thẩm định</w:t>
      </w:r>
      <w:r w:rsidR="001568F8">
        <w:rPr>
          <w:color w:val="000000" w:themeColor="text1"/>
        </w:rPr>
        <w:t>, Đoàn kiểm tra</w:t>
      </w:r>
      <w:r w:rsidRPr="008E49D0">
        <w:rPr>
          <w:color w:val="000000" w:themeColor="text1"/>
        </w:rPr>
        <w:t>;</w:t>
      </w:r>
    </w:p>
    <w:p w14:paraId="7E98B353" w14:textId="0E15FE7D" w:rsidR="001C186A" w:rsidRPr="00972743" w:rsidRDefault="00E75389" w:rsidP="001C186A">
      <w:pPr>
        <w:pStyle w:val="NormalWeb"/>
        <w:widowControl w:val="0"/>
        <w:spacing w:before="120" w:beforeAutospacing="0" w:after="0" w:afterAutospacing="0"/>
        <w:ind w:firstLine="567"/>
        <w:jc w:val="both"/>
        <w:rPr>
          <w:i/>
          <w:iCs/>
          <w:sz w:val="28"/>
          <w:szCs w:val="28"/>
          <w:lang w:val="vi-VN"/>
        </w:rPr>
      </w:pPr>
      <w:r w:rsidRPr="00972743">
        <w:rPr>
          <w:color w:val="000000" w:themeColor="text1"/>
          <w:sz w:val="28"/>
          <w:szCs w:val="28"/>
          <w:highlight w:val="white"/>
          <w:lang w:val="vi-VN"/>
        </w:rPr>
        <w:t>* Chi phí lấy mẫu, phân tích mẫu chất thải đối với các cơ sở đang hoạt động</w:t>
      </w:r>
      <w:r w:rsidR="001C186A" w:rsidRPr="00972743">
        <w:rPr>
          <w:color w:val="000000" w:themeColor="text1"/>
          <w:sz w:val="28"/>
          <w:szCs w:val="28"/>
          <w:lang w:val="vi-VN"/>
        </w:rPr>
        <w:t xml:space="preserve"> của Đoàn kiểm tra (</w:t>
      </w:r>
      <w:r w:rsidR="001C186A" w:rsidRPr="00972743">
        <w:rPr>
          <w:bCs/>
          <w:noProof/>
          <w:spacing w:val="-3"/>
          <w:sz w:val="28"/>
          <w:szCs w:val="28"/>
          <w:lang w:val="vi-VN"/>
        </w:rPr>
        <w:t>cơ sở có tiêu chí về môi trường như dự án đầu tư nhóm I, nhóm II và cơ sở có tiêu chí về môi trường như dự án đầu tư có số thứ tự 1 Mục I Phụ lục V ban hành kèm theo Nghị định số 05/2025/NĐ-CP ngày 06/01/2025 của Chính phủ)</w:t>
      </w:r>
      <w:r w:rsidR="001C186A" w:rsidRPr="00972743">
        <w:rPr>
          <w:color w:val="000000" w:themeColor="text1"/>
          <w:sz w:val="28"/>
          <w:szCs w:val="28"/>
          <w:lang w:val="vi-VN"/>
        </w:rPr>
        <w:t>:</w:t>
      </w:r>
      <w:r w:rsidR="001C186A" w:rsidRPr="00972743">
        <w:rPr>
          <w:color w:val="000000" w:themeColor="text1"/>
          <w:lang w:val="vi-VN"/>
        </w:rPr>
        <w:t xml:space="preserve"> </w:t>
      </w:r>
      <w:r w:rsidR="001C186A" w:rsidRPr="00972743">
        <w:rPr>
          <w:sz w:val="28"/>
          <w:szCs w:val="28"/>
          <w:lang w:val="vi-VN"/>
        </w:rPr>
        <w:t xml:space="preserve">Tùy thuộc vào loại hình hoạt động, sản xuất, hiện trạng công trình bảo vệ </w:t>
      </w:r>
      <w:r w:rsidR="001C186A" w:rsidRPr="00972743">
        <w:rPr>
          <w:sz w:val="28"/>
          <w:szCs w:val="28"/>
          <w:lang w:val="vi-VN"/>
        </w:rPr>
        <w:lastRenderedPageBreak/>
        <w:t>môi trường, đặc trưng các chất ô nhiễm của từng cơ sở mà chủ cơ sở sẽ đề xuất nội dung đề nghị cấp phép môi trường (có hay không đề nghị cấp phép đối với việc phát sinh nước thải, khí thải; số lượng dòng nước thải xả ra nguồn tiếp nhận; số lượng dòng khí thải xả ra môi trường…) thể hiện trong hồ sơ đề nghị cấp/cấp lại giấy phép môi trường của chủ cơ sở. Các chất ô nhiễm đề nghị cấp phép và giá trị giới hạn của các chất ô nhiễm theo dòng nước thải/khí thải được xác định tùy thuộc vào tính chất của cơ sở, nguồn thải, quy chuẩn kỹ thuật môi trường áp dụng</w:t>
      </w:r>
      <w:r w:rsidR="001C186A">
        <w:rPr>
          <w:rStyle w:val="FootnoteReference"/>
          <w:sz w:val="28"/>
          <w:szCs w:val="28"/>
        </w:rPr>
        <w:footnoteReference w:id="6"/>
      </w:r>
      <w:r w:rsidR="001C186A" w:rsidRPr="00972743">
        <w:rPr>
          <w:sz w:val="28"/>
          <w:szCs w:val="28"/>
          <w:lang w:val="vi-VN"/>
        </w:rPr>
        <w:t xml:space="preserve">. </w:t>
      </w:r>
      <w:r w:rsidR="001C186A" w:rsidRPr="00972743">
        <w:rPr>
          <w:color w:val="000000" w:themeColor="text1"/>
          <w:sz w:val="28"/>
          <w:szCs w:val="28"/>
          <w:highlight w:val="white"/>
          <w:lang w:val="vi-VN"/>
        </w:rPr>
        <w:t>Do đó, trong phạm vi đề án này, đề xuất</w:t>
      </w:r>
      <w:r w:rsidR="001C186A" w:rsidRPr="00972743">
        <w:rPr>
          <w:color w:val="000000" w:themeColor="text1"/>
          <w:sz w:val="28"/>
          <w:szCs w:val="28"/>
          <w:lang w:val="vi-VN"/>
        </w:rPr>
        <w:t xml:space="preserve"> </w:t>
      </w:r>
      <w:r w:rsidR="001C186A" w:rsidRPr="00972743">
        <w:rPr>
          <w:i/>
          <w:iCs/>
          <w:color w:val="000000" w:themeColor="text1"/>
          <w:sz w:val="28"/>
          <w:szCs w:val="28"/>
          <w:lang w:val="vi-VN"/>
        </w:rPr>
        <w:t>“</w:t>
      </w:r>
      <w:r w:rsidR="001C186A" w:rsidRPr="00972743">
        <w:rPr>
          <w:i/>
          <w:iCs/>
          <w:sz w:val="28"/>
          <w:szCs w:val="28"/>
          <w:lang w:val="vi-VN"/>
        </w:rPr>
        <w:t>Chi phí cho hoạt động lấy và phân tích mẫu chất thải của đoàn kiểm tra: được cơ quan thu phí thông báo trên cơ sở nội dung đ</w:t>
      </w:r>
      <w:r w:rsidR="00121587">
        <w:rPr>
          <w:i/>
          <w:iCs/>
          <w:sz w:val="28"/>
          <w:szCs w:val="28"/>
          <w:lang w:val="vi-VN"/>
        </w:rPr>
        <w:t>ề</w:t>
      </w:r>
      <w:r w:rsidR="001C186A" w:rsidRPr="00972743">
        <w:rPr>
          <w:i/>
          <w:iCs/>
          <w:sz w:val="28"/>
          <w:szCs w:val="28"/>
          <w:lang w:val="vi-VN"/>
        </w:rPr>
        <w:t xml:space="preserve"> nghị cấp phép trong hồ sơ đề nghị cấp/cấp lại giấy phép môi trường của chủ cơ sở và đơn giá theo quy định”.</w:t>
      </w:r>
    </w:p>
    <w:p w14:paraId="13DD3C43" w14:textId="5825EF09" w:rsidR="007C40D3" w:rsidRPr="00A01832" w:rsidRDefault="007C40D3" w:rsidP="007C40D3">
      <w:pPr>
        <w:widowControl w:val="0"/>
        <w:spacing w:before="120" w:after="120"/>
        <w:ind w:firstLine="567"/>
        <w:rPr>
          <w:color w:val="000000" w:themeColor="text1"/>
        </w:rPr>
      </w:pPr>
      <w:r w:rsidRPr="00A01832">
        <w:rPr>
          <w:color w:val="000000" w:themeColor="text1"/>
        </w:rPr>
        <w:t xml:space="preserve">* Chi phí tham vấn ý kiến </w:t>
      </w:r>
      <w:r>
        <w:rPr>
          <w:color w:val="000000" w:themeColor="text1"/>
        </w:rPr>
        <w:t xml:space="preserve">nhà quản lý, </w:t>
      </w:r>
      <w:r w:rsidRPr="008E49D0">
        <w:rPr>
          <w:color w:val="000000" w:themeColor="text1"/>
        </w:rPr>
        <w:t>chuyên gia</w:t>
      </w:r>
      <w:r>
        <w:rPr>
          <w:color w:val="000000" w:themeColor="text1"/>
        </w:rPr>
        <w:t xml:space="preserve"> đối với </w:t>
      </w:r>
      <w:r w:rsidR="00240096">
        <w:rPr>
          <w:color w:val="000000" w:themeColor="text1"/>
        </w:rPr>
        <w:t xml:space="preserve">hồ sơ đề nghị </w:t>
      </w:r>
      <w:r w:rsidR="00732A33">
        <w:rPr>
          <w:color w:val="000000" w:themeColor="text1"/>
        </w:rPr>
        <w:t>cấp, cấp lại, điều chỉnh giấy phép môi trường</w:t>
      </w:r>
      <w:r>
        <w:rPr>
          <w:color w:val="000000" w:themeColor="text1"/>
        </w:rPr>
        <w:t xml:space="preserve"> sau khi được chỉnh sửa, bổ sung</w:t>
      </w:r>
      <w:r w:rsidRPr="00A01832">
        <w:rPr>
          <w:color w:val="000000" w:themeColor="text1"/>
        </w:rPr>
        <w:t>;</w:t>
      </w:r>
    </w:p>
    <w:p w14:paraId="295D931C" w14:textId="42502461" w:rsidR="007C40D3" w:rsidRPr="00A01832" w:rsidRDefault="007C40D3" w:rsidP="007C40D3">
      <w:pPr>
        <w:widowControl w:val="0"/>
        <w:spacing w:before="120" w:after="120"/>
        <w:ind w:firstLine="567"/>
        <w:rPr>
          <w:color w:val="000000" w:themeColor="text1"/>
        </w:rPr>
      </w:pPr>
      <w:r w:rsidRPr="00A01832">
        <w:rPr>
          <w:color w:val="000000" w:themeColor="text1"/>
        </w:rPr>
        <w:t xml:space="preserve">* Chi </w:t>
      </w:r>
      <w:r>
        <w:rPr>
          <w:color w:val="000000" w:themeColor="text1"/>
        </w:rPr>
        <w:t xml:space="preserve">phí </w:t>
      </w:r>
      <w:r w:rsidRPr="00A01832">
        <w:rPr>
          <w:color w:val="000000" w:themeColor="text1"/>
        </w:rPr>
        <w:t xml:space="preserve">khác </w:t>
      </w:r>
      <w:r>
        <w:rPr>
          <w:color w:val="000000" w:themeColor="text1"/>
        </w:rPr>
        <w:t xml:space="preserve">phục vụ cho hoạt động </w:t>
      </w:r>
      <w:r w:rsidR="00732A33">
        <w:rPr>
          <w:color w:val="000000" w:themeColor="text1"/>
        </w:rPr>
        <w:t>cấp, cấp lại, điều chỉnh giấy phép môi trường</w:t>
      </w:r>
      <w:r>
        <w:rPr>
          <w:color w:val="000000" w:themeColor="text1"/>
        </w:rPr>
        <w:t>, bao</w:t>
      </w:r>
      <w:r w:rsidRPr="00A01832">
        <w:rPr>
          <w:color w:val="000000" w:themeColor="text1"/>
        </w:rPr>
        <w:t xml:space="preserve"> gồm:</w:t>
      </w:r>
    </w:p>
    <w:p w14:paraId="05E15891" w14:textId="0075EE4D" w:rsidR="007C40D3" w:rsidRPr="00A01832" w:rsidRDefault="00B661ED" w:rsidP="007C40D3">
      <w:pPr>
        <w:widowControl w:val="0"/>
        <w:spacing w:before="120" w:after="120"/>
        <w:ind w:firstLine="567"/>
        <w:rPr>
          <w:color w:val="000000" w:themeColor="text1"/>
        </w:rPr>
      </w:pPr>
      <w:r>
        <w:rPr>
          <w:color w:val="000000" w:themeColor="text1"/>
        </w:rPr>
        <w:t>-</w:t>
      </w:r>
      <w:r w:rsidR="007C40D3" w:rsidRPr="00A01832">
        <w:rPr>
          <w:color w:val="000000" w:themeColor="text1"/>
        </w:rPr>
        <w:t xml:space="preserve"> Chi phí liên lạc, giao dịch với các cơ quan, tổ chức và cá nhân liên quan để tham </w:t>
      </w:r>
      <w:r w:rsidR="007C40D3">
        <w:rPr>
          <w:color w:val="000000" w:themeColor="text1"/>
        </w:rPr>
        <w:t>vấn</w:t>
      </w:r>
      <w:r w:rsidR="007C40D3" w:rsidRPr="00A01832">
        <w:rPr>
          <w:color w:val="000000" w:themeColor="text1"/>
        </w:rPr>
        <w:t xml:space="preserve"> ý kiến;</w:t>
      </w:r>
    </w:p>
    <w:p w14:paraId="310F596A" w14:textId="0D088047" w:rsidR="007C40D3" w:rsidRPr="008B2E30" w:rsidRDefault="00B661ED" w:rsidP="007C40D3">
      <w:pPr>
        <w:widowControl w:val="0"/>
        <w:spacing w:before="120" w:after="120"/>
        <w:ind w:firstLine="567"/>
        <w:rPr>
          <w:color w:val="auto"/>
        </w:rPr>
      </w:pPr>
      <w:r>
        <w:rPr>
          <w:color w:val="000000" w:themeColor="text1"/>
        </w:rPr>
        <w:t>-</w:t>
      </w:r>
      <w:r w:rsidR="007C40D3" w:rsidRPr="00A01832">
        <w:rPr>
          <w:color w:val="000000" w:themeColor="text1"/>
        </w:rPr>
        <w:t xml:space="preserve"> Chi phí photo</w:t>
      </w:r>
      <w:r w:rsidR="007C40D3">
        <w:rPr>
          <w:color w:val="000000" w:themeColor="text1"/>
        </w:rPr>
        <w:t>copy</w:t>
      </w:r>
      <w:r w:rsidR="007C40D3" w:rsidRPr="00A01832">
        <w:rPr>
          <w:color w:val="000000" w:themeColor="text1"/>
        </w:rPr>
        <w:t>, văn phòng phẩm, nước uống, thuê hội trường, thiết bị máy móc, phục vụ, vệ sinh dọn d</w:t>
      </w:r>
      <w:r w:rsidR="007C40D3">
        <w:rPr>
          <w:color w:val="000000" w:themeColor="text1"/>
        </w:rPr>
        <w:t>ẹ</w:t>
      </w:r>
      <w:r w:rsidR="007C40D3" w:rsidRPr="00A01832">
        <w:rPr>
          <w:color w:val="000000" w:themeColor="text1"/>
        </w:rPr>
        <w:t>p</w:t>
      </w:r>
      <w:r w:rsidR="007C40D3">
        <w:rPr>
          <w:color w:val="000000" w:themeColor="text1"/>
        </w:rPr>
        <w:t xml:space="preserve"> phục vụ cho công tác thẩm định</w:t>
      </w:r>
      <w:r w:rsidR="007C40D3" w:rsidRPr="009428A7">
        <w:rPr>
          <w:color w:val="auto"/>
        </w:rPr>
        <w:t>.</w:t>
      </w:r>
    </w:p>
    <w:p w14:paraId="78AD3B14" w14:textId="77777777" w:rsidR="00CF40C1" w:rsidRDefault="007C40D3" w:rsidP="00312AB6">
      <w:pPr>
        <w:widowControl w:val="0"/>
        <w:spacing w:before="120" w:after="120"/>
        <w:ind w:firstLine="567"/>
        <w:rPr>
          <w:bCs/>
          <w:color w:val="000000" w:themeColor="text1"/>
        </w:rPr>
      </w:pPr>
      <w:r w:rsidRPr="00C60A50">
        <w:rPr>
          <w:bCs/>
          <w:color w:val="000000" w:themeColor="text1"/>
        </w:rPr>
        <w:t xml:space="preserve">c) </w:t>
      </w:r>
      <w:r w:rsidR="00CF40C1">
        <w:rPr>
          <w:bCs/>
          <w:color w:val="000000" w:themeColor="text1"/>
        </w:rPr>
        <w:t>Dự kiến mức thu</w:t>
      </w:r>
    </w:p>
    <w:p w14:paraId="44402108" w14:textId="0AF2B13B" w:rsidR="008570A7" w:rsidRPr="00C60A50" w:rsidRDefault="00D13DDE" w:rsidP="00EB6B45">
      <w:pPr>
        <w:widowControl w:val="0"/>
        <w:spacing w:before="120" w:after="120"/>
        <w:ind w:firstLine="567"/>
        <w:rPr>
          <w:noProof/>
          <w:spacing w:val="-3"/>
        </w:rPr>
      </w:pPr>
      <w:bookmarkStart w:id="8" w:name="bookmark=id.tyjcwt" w:colFirst="0" w:colLast="0"/>
      <w:bookmarkEnd w:id="8"/>
      <w:r w:rsidRPr="00665F6B">
        <w:rPr>
          <w:noProof/>
          <w:spacing w:val="-3"/>
        </w:rPr>
        <w:t xml:space="preserve">Theo kết quả thống kê tỷ lệ thu chi qua các năm </w:t>
      </w:r>
      <w:r w:rsidR="00B661ED">
        <w:rPr>
          <w:noProof/>
          <w:spacing w:val="-3"/>
        </w:rPr>
        <w:t>ở Đà Nẵng và Quảng Nam</w:t>
      </w:r>
      <w:r w:rsidRPr="00665F6B">
        <w:rPr>
          <w:noProof/>
          <w:spacing w:val="-3"/>
        </w:rPr>
        <w:t xml:space="preserve"> cho thấy số tiền phí được trích để lại </w:t>
      </w:r>
      <w:r w:rsidR="003918E4" w:rsidRPr="003918E4">
        <w:rPr>
          <w:noProof/>
          <w:spacing w:val="-3"/>
        </w:rPr>
        <w:t xml:space="preserve">cơ bản </w:t>
      </w:r>
      <w:r w:rsidRPr="00665F6B">
        <w:rPr>
          <w:noProof/>
          <w:spacing w:val="-3"/>
        </w:rPr>
        <w:t xml:space="preserve">là đủ để </w:t>
      </w:r>
      <w:r w:rsidRPr="00665F6B">
        <w:rPr>
          <w:bCs/>
          <w:noProof/>
          <w:color w:val="000000" w:themeColor="text1"/>
        </w:rPr>
        <w:t xml:space="preserve">đảm bảo </w:t>
      </w:r>
      <w:r w:rsidRPr="00111D15">
        <w:rPr>
          <w:bCs/>
          <w:noProof/>
          <w:color w:val="000000" w:themeColor="text1"/>
        </w:rPr>
        <w:t xml:space="preserve">chi trả </w:t>
      </w:r>
      <w:r w:rsidRPr="009809B9">
        <w:rPr>
          <w:bCs/>
          <w:noProof/>
          <w:color w:val="000000" w:themeColor="text1"/>
        </w:rPr>
        <w:t>phục vụ</w:t>
      </w:r>
      <w:r w:rsidRPr="00665F6B">
        <w:rPr>
          <w:bCs/>
          <w:noProof/>
          <w:color w:val="000000" w:themeColor="text1"/>
        </w:rPr>
        <w:t xml:space="preserve"> cho hoạt động thẩm định</w:t>
      </w:r>
      <w:r w:rsidRPr="00D13DDE">
        <w:rPr>
          <w:bCs/>
          <w:noProof/>
          <w:color w:val="000000" w:themeColor="text1"/>
        </w:rPr>
        <w:t xml:space="preserve"> của cơ quan thu phí</w:t>
      </w:r>
      <w:r w:rsidRPr="00665F6B">
        <w:rPr>
          <w:noProof/>
          <w:spacing w:val="-3"/>
        </w:rPr>
        <w:t xml:space="preserve">. </w:t>
      </w:r>
      <w:r w:rsidR="00EB6B45" w:rsidRPr="00C60A50">
        <w:rPr>
          <w:noProof/>
          <w:spacing w:val="-3"/>
        </w:rPr>
        <w:t xml:space="preserve">Do đó, </w:t>
      </w:r>
      <w:r w:rsidR="008570A7" w:rsidRPr="00665F6B">
        <w:rPr>
          <w:noProof/>
          <w:spacing w:val="-3"/>
        </w:rPr>
        <w:t>mức</w:t>
      </w:r>
      <w:r w:rsidR="00B661ED">
        <w:rPr>
          <w:noProof/>
          <w:spacing w:val="-3"/>
        </w:rPr>
        <w:t xml:space="preserve"> thu</w:t>
      </w:r>
      <w:r w:rsidR="008570A7" w:rsidRPr="00665F6B">
        <w:rPr>
          <w:noProof/>
          <w:spacing w:val="-3"/>
        </w:rPr>
        <w:t xml:space="preserve"> phí xác định tại Đề án này </w:t>
      </w:r>
      <w:r w:rsidR="00240096">
        <w:rPr>
          <w:b/>
          <w:noProof/>
          <w:spacing w:val="-3"/>
        </w:rPr>
        <w:t>kế thừa lại</w:t>
      </w:r>
      <w:r w:rsidR="00240096" w:rsidRPr="00240096">
        <w:rPr>
          <w:bCs/>
          <w:noProof/>
          <w:spacing w:val="-3"/>
        </w:rPr>
        <w:t xml:space="preserve"> mức thu phí đã quy định tại Nghị quyết số 59/2021/NQ-HĐND ngày 17/12/2021 của HĐND thành phố Đà Nẵng và mức thu phí đối với </w:t>
      </w:r>
      <w:r w:rsidR="00D2585B">
        <w:rPr>
          <w:bCs/>
          <w:noProof/>
          <w:spacing w:val="-3"/>
        </w:rPr>
        <w:t>GPMT</w:t>
      </w:r>
      <w:r w:rsidR="00240096" w:rsidRPr="00240096">
        <w:rPr>
          <w:bCs/>
          <w:noProof/>
          <w:spacing w:val="-3"/>
        </w:rPr>
        <w:t xml:space="preserve"> thuộc </w:t>
      </w:r>
      <w:r w:rsidR="00D2585B">
        <w:rPr>
          <w:bCs/>
          <w:noProof/>
          <w:spacing w:val="-3"/>
        </w:rPr>
        <w:t xml:space="preserve">UBND </w:t>
      </w:r>
      <w:r w:rsidR="00240096" w:rsidRPr="00240096">
        <w:rPr>
          <w:bCs/>
          <w:noProof/>
          <w:spacing w:val="-3"/>
        </w:rPr>
        <w:t>cấp tỉnh tại Nghị quyết số 07/2022/NQ-HĐND ngày 21/4/2022 của HĐND tỉnh Quảng Nam. Riêng đối với cơ sở có tiêu chí về môi trường như dự án đầu tư nhóm I, nhóm II và cơ sở có tiêu chí về môi trường như dự án đầu tư có số thứ tự 1 Mục I Phụ lục V ban hành kèm theo Nghị định số 05/2025/NĐ-CP ngày 06/01/2025 của Chính phủ, mức thu phí là 9.000.000 đồng/hồ sơ và bao gồm chi phí cho hoạt động lấy và phân tích mẫu chất thải của đoàn kiểm tra theo quy định tại khoản 7 Điều 29 Nghị định số 08/2022/NĐ-CP được sửa đổi, bổ sung tại khoản 11 Điều 1 Nghị định số 05/2025/NĐ-CP</w:t>
      </w:r>
      <w:r w:rsidR="00D2585B">
        <w:rPr>
          <w:bCs/>
          <w:noProof/>
          <w:spacing w:val="-3"/>
        </w:rPr>
        <w:t>.</w:t>
      </w:r>
      <w:r w:rsidR="008570A7" w:rsidRPr="008570A7">
        <w:rPr>
          <w:iCs/>
          <w:noProof/>
          <w:spacing w:val="-3"/>
        </w:rPr>
        <w:t xml:space="preserve"> </w:t>
      </w:r>
      <w:r w:rsidR="00D2585B">
        <w:rPr>
          <w:iCs/>
          <w:noProof/>
          <w:spacing w:val="-3"/>
        </w:rPr>
        <w:t>C</w:t>
      </w:r>
      <w:r w:rsidR="008570A7" w:rsidRPr="008570A7">
        <w:rPr>
          <w:iCs/>
          <w:noProof/>
          <w:spacing w:val="-3"/>
        </w:rPr>
        <w:t>ụ thể</w:t>
      </w:r>
      <w:r w:rsidR="00D2585B">
        <w:rPr>
          <w:iCs/>
          <w:noProof/>
          <w:spacing w:val="-3"/>
        </w:rPr>
        <w:t xml:space="preserve"> như sau</w:t>
      </w:r>
      <w:r w:rsidR="008570A7" w:rsidRPr="008570A7">
        <w:rPr>
          <w:iCs/>
          <w:noProof/>
          <w:spacing w:val="-3"/>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58"/>
        <w:gridCol w:w="4842"/>
        <w:gridCol w:w="3561"/>
      </w:tblGrid>
      <w:tr w:rsidR="005434CB" w:rsidRPr="008E5A85" w14:paraId="4DFABEB4" w14:textId="77777777" w:rsidTr="005434CB">
        <w:tc>
          <w:tcPr>
            <w:tcW w:w="363" w:type="pct"/>
            <w:vAlign w:val="center"/>
          </w:tcPr>
          <w:p w14:paraId="379AB3F2" w14:textId="77777777" w:rsidR="005434CB" w:rsidRPr="008E5A85" w:rsidRDefault="005434CB" w:rsidP="008E5A85">
            <w:pPr>
              <w:spacing w:before="120" w:after="120"/>
              <w:jc w:val="center"/>
              <w:rPr>
                <w:b/>
              </w:rPr>
            </w:pPr>
            <w:bookmarkStart w:id="9" w:name="_heading=h.1t3h5sf" w:colFirst="0" w:colLast="0"/>
            <w:bookmarkEnd w:id="9"/>
            <w:r w:rsidRPr="008E5A85">
              <w:rPr>
                <w:b/>
              </w:rPr>
              <w:t>TT</w:t>
            </w:r>
          </w:p>
        </w:tc>
        <w:tc>
          <w:tcPr>
            <w:tcW w:w="2672" w:type="pct"/>
            <w:vAlign w:val="center"/>
          </w:tcPr>
          <w:p w14:paraId="44F6156E" w14:textId="77777777" w:rsidR="005434CB" w:rsidRPr="008E5A85" w:rsidRDefault="005434CB" w:rsidP="008E5A85">
            <w:pPr>
              <w:spacing w:before="120" w:after="120"/>
              <w:jc w:val="center"/>
              <w:rPr>
                <w:b/>
              </w:rPr>
            </w:pPr>
            <w:r w:rsidRPr="008E5A85">
              <w:rPr>
                <w:b/>
              </w:rPr>
              <w:t>Đối tượng thu phí</w:t>
            </w:r>
          </w:p>
        </w:tc>
        <w:tc>
          <w:tcPr>
            <w:tcW w:w="1965" w:type="pct"/>
            <w:vAlign w:val="center"/>
          </w:tcPr>
          <w:p w14:paraId="2FA0FC45" w14:textId="77777777" w:rsidR="005434CB" w:rsidRPr="008E5A85" w:rsidRDefault="005434CB" w:rsidP="008E5A85">
            <w:pPr>
              <w:spacing w:before="120" w:after="120"/>
              <w:jc w:val="center"/>
              <w:rPr>
                <w:b/>
              </w:rPr>
            </w:pPr>
            <w:r w:rsidRPr="008E5A85">
              <w:rPr>
                <w:b/>
              </w:rPr>
              <w:t xml:space="preserve">Mức phí thu </w:t>
            </w:r>
            <w:r>
              <w:rPr>
                <w:b/>
              </w:rPr>
              <w:t>(đồng/hồ sơ)</w:t>
            </w:r>
          </w:p>
        </w:tc>
      </w:tr>
      <w:tr w:rsidR="005434CB" w:rsidRPr="008E5A85" w14:paraId="1C1E10F6" w14:textId="77777777" w:rsidTr="005434CB">
        <w:tc>
          <w:tcPr>
            <w:tcW w:w="363" w:type="pct"/>
            <w:vAlign w:val="center"/>
          </w:tcPr>
          <w:p w14:paraId="2772DEDA" w14:textId="77777777" w:rsidR="005434CB" w:rsidRPr="008E5A85" w:rsidRDefault="005434CB" w:rsidP="008E5A85">
            <w:pPr>
              <w:spacing w:before="120" w:after="120"/>
              <w:jc w:val="center"/>
            </w:pPr>
            <w:r w:rsidRPr="008E5A85">
              <w:t>1</w:t>
            </w:r>
          </w:p>
        </w:tc>
        <w:tc>
          <w:tcPr>
            <w:tcW w:w="2672" w:type="pct"/>
            <w:vAlign w:val="center"/>
          </w:tcPr>
          <w:p w14:paraId="7CDC1467" w14:textId="77777777" w:rsidR="005434CB" w:rsidRPr="008E5A85" w:rsidRDefault="005434CB" w:rsidP="008E5A85">
            <w:pPr>
              <w:spacing w:before="120" w:after="120"/>
            </w:pPr>
            <w:r w:rsidRPr="008E5A85">
              <w:t>Dự án đầu tư không thuộc đối tượng phải thực hiện đánh giá tác động môi trường và thuộc đối tượng phải có giấy phép môi trường.</w:t>
            </w:r>
          </w:p>
        </w:tc>
        <w:tc>
          <w:tcPr>
            <w:tcW w:w="1965" w:type="pct"/>
            <w:vAlign w:val="center"/>
          </w:tcPr>
          <w:p w14:paraId="2207B100" w14:textId="77777777" w:rsidR="005434CB" w:rsidRPr="008E5A85" w:rsidRDefault="005434CB" w:rsidP="008E5A85">
            <w:pPr>
              <w:spacing w:before="120" w:after="120"/>
              <w:jc w:val="center"/>
            </w:pPr>
            <w:r w:rsidRPr="008E5A85">
              <w:t>16.000.000</w:t>
            </w:r>
          </w:p>
        </w:tc>
      </w:tr>
      <w:tr w:rsidR="005434CB" w:rsidRPr="008E5A85" w14:paraId="157CDD7B" w14:textId="77777777" w:rsidTr="005434CB">
        <w:tc>
          <w:tcPr>
            <w:tcW w:w="363" w:type="pct"/>
            <w:vAlign w:val="center"/>
          </w:tcPr>
          <w:p w14:paraId="487D7D8A" w14:textId="77777777" w:rsidR="005434CB" w:rsidRPr="008E5A85" w:rsidRDefault="005434CB" w:rsidP="008E5A85">
            <w:pPr>
              <w:spacing w:before="120" w:after="120"/>
              <w:jc w:val="center"/>
            </w:pPr>
            <w:r w:rsidRPr="008E5A85">
              <w:lastRenderedPageBreak/>
              <w:t>2</w:t>
            </w:r>
          </w:p>
        </w:tc>
        <w:tc>
          <w:tcPr>
            <w:tcW w:w="2672" w:type="pct"/>
            <w:vAlign w:val="center"/>
          </w:tcPr>
          <w:p w14:paraId="1145FE9D" w14:textId="77777777" w:rsidR="005434CB" w:rsidRPr="008E5A85" w:rsidRDefault="005434CB" w:rsidP="008E5A85">
            <w:pPr>
              <w:spacing w:before="120" w:after="120"/>
            </w:pPr>
            <w:r w:rsidRPr="008E5A85">
              <w:t>Dự án đầu tư đã có quyết định phê duyệt kết quả thẩm định báo cáo đánh giá tác động môi trường và thuộc đối tượng phải có giấy phép môi trường; cơ sở thuộc đối tượng phải có giấy phép môi trường.</w:t>
            </w:r>
          </w:p>
        </w:tc>
        <w:tc>
          <w:tcPr>
            <w:tcW w:w="1965" w:type="pct"/>
            <w:vAlign w:val="center"/>
          </w:tcPr>
          <w:p w14:paraId="45457A97" w14:textId="77777777" w:rsidR="005434CB" w:rsidRPr="008E5A85" w:rsidRDefault="005434CB" w:rsidP="008E5A85">
            <w:pPr>
              <w:spacing w:before="120" w:after="120"/>
              <w:jc w:val="center"/>
            </w:pPr>
            <w:r w:rsidRPr="008E5A85">
              <w:t>9.000.000</w:t>
            </w:r>
          </w:p>
        </w:tc>
      </w:tr>
      <w:tr w:rsidR="005434CB" w:rsidRPr="008E5A85" w14:paraId="4D925C8B" w14:textId="77777777" w:rsidTr="005434CB">
        <w:trPr>
          <w:trHeight w:val="459"/>
        </w:trPr>
        <w:tc>
          <w:tcPr>
            <w:tcW w:w="363" w:type="pct"/>
            <w:vAlign w:val="center"/>
          </w:tcPr>
          <w:p w14:paraId="72497D5D" w14:textId="77777777" w:rsidR="005434CB" w:rsidRPr="008E5A85" w:rsidRDefault="005434CB" w:rsidP="008E5A85">
            <w:pPr>
              <w:spacing w:before="120" w:after="120"/>
              <w:jc w:val="center"/>
            </w:pPr>
            <w:r>
              <w:t>3</w:t>
            </w:r>
          </w:p>
        </w:tc>
        <w:tc>
          <w:tcPr>
            <w:tcW w:w="2672" w:type="pct"/>
            <w:vAlign w:val="center"/>
          </w:tcPr>
          <w:p w14:paraId="085B5625" w14:textId="77777777" w:rsidR="005434CB" w:rsidRPr="008E5A85" w:rsidRDefault="005434CB" w:rsidP="008E5A85">
            <w:pPr>
              <w:spacing w:before="120" w:after="120"/>
            </w:pPr>
            <w:r w:rsidRPr="0047419C">
              <w:t>Cơ sở thuộc đối tượng phải có giấy phép môi trường</w:t>
            </w:r>
            <w:r>
              <w:t>:</w:t>
            </w:r>
          </w:p>
        </w:tc>
        <w:tc>
          <w:tcPr>
            <w:tcW w:w="1965" w:type="pct"/>
            <w:vAlign w:val="center"/>
          </w:tcPr>
          <w:p w14:paraId="33047893" w14:textId="77777777" w:rsidR="005434CB" w:rsidRPr="008E5A85" w:rsidRDefault="005434CB" w:rsidP="008E5A85">
            <w:pPr>
              <w:spacing w:before="120" w:after="120"/>
              <w:jc w:val="center"/>
            </w:pPr>
          </w:p>
        </w:tc>
      </w:tr>
      <w:tr w:rsidR="005434CB" w:rsidRPr="008E5A85" w14:paraId="0FCF1CFF" w14:textId="77777777" w:rsidTr="005434CB">
        <w:tc>
          <w:tcPr>
            <w:tcW w:w="363" w:type="pct"/>
            <w:vAlign w:val="center"/>
          </w:tcPr>
          <w:p w14:paraId="02F522BB" w14:textId="77777777" w:rsidR="005434CB" w:rsidRDefault="005434CB" w:rsidP="008E5A85">
            <w:pPr>
              <w:spacing w:before="120" w:after="120"/>
              <w:jc w:val="center"/>
            </w:pPr>
            <w:r>
              <w:t>a</w:t>
            </w:r>
          </w:p>
        </w:tc>
        <w:tc>
          <w:tcPr>
            <w:tcW w:w="2672" w:type="pct"/>
            <w:vAlign w:val="center"/>
          </w:tcPr>
          <w:p w14:paraId="1142186F" w14:textId="77777777" w:rsidR="005434CB" w:rsidRPr="0047419C" w:rsidRDefault="005434CB" w:rsidP="008E5A85">
            <w:pPr>
              <w:spacing w:before="120" w:after="120"/>
            </w:pPr>
            <w:r>
              <w:t>C</w:t>
            </w:r>
            <w:r w:rsidRPr="0047419C">
              <w:t>ơ sở có tiêu chí về môi trường như dự án đầu tư nhóm I, nhóm II và cơ sở có tiêu chí về môi trường như dự án đầu tư có số thứ tự 1 Mục I Phụ lục V ban hành kèm theo Nghị định số 05/2025/NĐ-CP ngày 06</w:t>
            </w:r>
            <w:r>
              <w:t xml:space="preserve"> tháng </w:t>
            </w:r>
            <w:r w:rsidRPr="0047419C">
              <w:t>01</w:t>
            </w:r>
            <w:r>
              <w:t xml:space="preserve"> năm </w:t>
            </w:r>
            <w:r w:rsidRPr="0047419C">
              <w:t>2025 của Chính phủ Sửa đổi, bổ sung một số điều của Nghị định số 08/2022/NĐ-CP ngày 10 tháng 01 năm 2022 của Chính phủ quy định chi tiết một số điều của Luật Bảo vệ môi trường</w:t>
            </w:r>
          </w:p>
        </w:tc>
        <w:tc>
          <w:tcPr>
            <w:tcW w:w="1965" w:type="pct"/>
            <w:vAlign w:val="center"/>
          </w:tcPr>
          <w:p w14:paraId="2FB00C28" w14:textId="448DECA4" w:rsidR="005434CB" w:rsidRPr="008E5A85" w:rsidRDefault="005434CB" w:rsidP="008E5A85">
            <w:pPr>
              <w:spacing w:before="120" w:after="120"/>
            </w:pPr>
            <w:r w:rsidRPr="0047419C">
              <w:t xml:space="preserve">9.000.000 đồng </w:t>
            </w:r>
            <w:r w:rsidR="00E74F77">
              <w:t>và c</w:t>
            </w:r>
            <w:r w:rsidRPr="0047419C">
              <w:t xml:space="preserve">hi phí cho hoạt động lấy và phân tích mẫu chất thải của đoàn kiểm tra. </w:t>
            </w:r>
          </w:p>
        </w:tc>
      </w:tr>
      <w:tr w:rsidR="005434CB" w:rsidRPr="008E5A85" w14:paraId="75E9CE20" w14:textId="77777777" w:rsidTr="005434CB">
        <w:tc>
          <w:tcPr>
            <w:tcW w:w="363" w:type="pct"/>
            <w:vAlign w:val="center"/>
          </w:tcPr>
          <w:p w14:paraId="17981A89" w14:textId="77777777" w:rsidR="005434CB" w:rsidRDefault="005434CB" w:rsidP="008E5A85">
            <w:pPr>
              <w:spacing w:before="120" w:after="120"/>
              <w:jc w:val="center"/>
            </w:pPr>
            <w:r>
              <w:t>b</w:t>
            </w:r>
          </w:p>
        </w:tc>
        <w:tc>
          <w:tcPr>
            <w:tcW w:w="2672" w:type="pct"/>
            <w:vAlign w:val="center"/>
          </w:tcPr>
          <w:p w14:paraId="413EC094" w14:textId="77777777" w:rsidR="005434CB" w:rsidRDefault="005434CB" w:rsidP="008E5A85">
            <w:pPr>
              <w:spacing w:before="120" w:after="120"/>
            </w:pPr>
            <w:r>
              <w:t>C</w:t>
            </w:r>
            <w:r w:rsidRPr="0047419C">
              <w:t xml:space="preserve">ơ sở không thuộc </w:t>
            </w:r>
            <w:r>
              <w:t>điểm a nêu trên</w:t>
            </w:r>
          </w:p>
        </w:tc>
        <w:tc>
          <w:tcPr>
            <w:tcW w:w="1965" w:type="pct"/>
            <w:vAlign w:val="center"/>
          </w:tcPr>
          <w:p w14:paraId="1F6EBA32" w14:textId="77777777" w:rsidR="005434CB" w:rsidRPr="0047419C" w:rsidRDefault="005434CB" w:rsidP="008E5A85">
            <w:pPr>
              <w:spacing w:before="120" w:after="120"/>
              <w:jc w:val="center"/>
            </w:pPr>
            <w:r w:rsidRPr="0047419C">
              <w:t>9.000.000</w:t>
            </w:r>
          </w:p>
        </w:tc>
      </w:tr>
    </w:tbl>
    <w:p w14:paraId="677DB75C" w14:textId="3EE2FFB4" w:rsidR="00E75389" w:rsidRPr="00E75389" w:rsidRDefault="00E75389" w:rsidP="00312AB6">
      <w:pPr>
        <w:widowControl w:val="0"/>
        <w:pBdr>
          <w:top w:val="nil"/>
          <w:left w:val="nil"/>
          <w:bottom w:val="nil"/>
          <w:right w:val="nil"/>
          <w:between w:val="nil"/>
        </w:pBdr>
        <w:spacing w:before="120" w:after="120"/>
        <w:ind w:firstLine="567"/>
        <w:rPr>
          <w:lang w:val="en-US"/>
        </w:rPr>
      </w:pPr>
      <w:r>
        <w:rPr>
          <w:lang w:val="en-US"/>
        </w:rPr>
        <w:t>Ghi chú:</w:t>
      </w:r>
    </w:p>
    <w:p w14:paraId="6E757AE2" w14:textId="4D0582F4" w:rsidR="005434CB" w:rsidRDefault="005434CB" w:rsidP="00312AB6">
      <w:pPr>
        <w:widowControl w:val="0"/>
        <w:pBdr>
          <w:top w:val="nil"/>
          <w:left w:val="nil"/>
          <w:bottom w:val="nil"/>
          <w:right w:val="nil"/>
          <w:between w:val="nil"/>
        </w:pBdr>
        <w:spacing w:before="120" w:after="120"/>
        <w:ind w:firstLine="567"/>
      </w:pPr>
      <w:r>
        <w:t>-</w:t>
      </w:r>
      <w:r w:rsidRPr="00F103F6">
        <w:t xml:space="preserve"> </w:t>
      </w:r>
      <w:r w:rsidRPr="00A17C40">
        <w:t>Mức thu phí được tính theo lần thẩm định cấp/cấp lại/điều chỉnh giấy phép môi trường</w:t>
      </w:r>
      <w:r>
        <w:t>.</w:t>
      </w:r>
    </w:p>
    <w:p w14:paraId="13852B16" w14:textId="7496C222" w:rsidR="00CF08E5" w:rsidRPr="00972743" w:rsidRDefault="00CF08E5" w:rsidP="00CF08E5">
      <w:pPr>
        <w:pStyle w:val="NormalWeb"/>
        <w:widowControl w:val="0"/>
        <w:spacing w:before="120" w:beforeAutospacing="0" w:after="0" w:afterAutospacing="0"/>
        <w:ind w:firstLine="567"/>
        <w:jc w:val="both"/>
        <w:rPr>
          <w:sz w:val="28"/>
          <w:szCs w:val="28"/>
          <w:lang w:val="vi-VN"/>
        </w:rPr>
      </w:pPr>
      <w:r w:rsidRPr="00972743">
        <w:rPr>
          <w:lang w:val="vi-VN"/>
        </w:rPr>
        <w:t xml:space="preserve">- </w:t>
      </w:r>
      <w:r w:rsidRPr="00972743">
        <w:rPr>
          <w:sz w:val="28"/>
          <w:szCs w:val="28"/>
          <w:lang w:val="vi-VN"/>
        </w:rPr>
        <w:t>Chi phí cho hoạt động lấy và phân tích mẫu chất thải của đoàn kiểm tra: được cơ quan thu phí thông báo trên cơ sở nội dung đ</w:t>
      </w:r>
      <w:r w:rsidR="00B274DC">
        <w:rPr>
          <w:sz w:val="28"/>
          <w:szCs w:val="28"/>
          <w:lang w:val="vi-VN"/>
        </w:rPr>
        <w:t>ề</w:t>
      </w:r>
      <w:r w:rsidRPr="00972743">
        <w:rPr>
          <w:sz w:val="28"/>
          <w:szCs w:val="28"/>
          <w:lang w:val="vi-VN"/>
        </w:rPr>
        <w:t xml:space="preserve"> nghị cấp phép trong hồ sơ đề nghị cấp/cấp lại giấy phép môi trường của chủ cơ sở và đơn giá theo quy định. </w:t>
      </w:r>
    </w:p>
    <w:p w14:paraId="7358E808" w14:textId="14E69F2F" w:rsidR="00E22AFA" w:rsidRPr="00A01832" w:rsidRDefault="00E22AFA" w:rsidP="00312AB6">
      <w:pPr>
        <w:widowControl w:val="0"/>
        <w:pBdr>
          <w:top w:val="nil"/>
          <w:left w:val="nil"/>
          <w:bottom w:val="nil"/>
          <w:right w:val="nil"/>
          <w:between w:val="nil"/>
        </w:pBdr>
        <w:spacing w:before="120" w:after="120"/>
        <w:ind w:firstLine="567"/>
        <w:rPr>
          <w:b/>
          <w:color w:val="000000" w:themeColor="text1"/>
        </w:rPr>
      </w:pPr>
      <w:r>
        <w:rPr>
          <w:b/>
          <w:color w:val="000000" w:themeColor="text1"/>
        </w:rPr>
        <w:t xml:space="preserve">4. </w:t>
      </w:r>
      <w:r w:rsidRPr="00A01832">
        <w:rPr>
          <w:b/>
          <w:color w:val="000000" w:themeColor="text1"/>
        </w:rPr>
        <w:t xml:space="preserve">Đối tượng </w:t>
      </w:r>
      <w:r>
        <w:rPr>
          <w:b/>
          <w:color w:val="000000" w:themeColor="text1"/>
        </w:rPr>
        <w:t>chịu</w:t>
      </w:r>
      <w:r w:rsidRPr="00A01832">
        <w:rPr>
          <w:b/>
          <w:color w:val="000000" w:themeColor="text1"/>
        </w:rPr>
        <w:t xml:space="preserve"> phí</w:t>
      </w:r>
    </w:p>
    <w:p w14:paraId="32413A09" w14:textId="1F12B813" w:rsidR="009F3FB4" w:rsidRPr="00732A33" w:rsidRDefault="0002068A" w:rsidP="009F3FB4">
      <w:pPr>
        <w:widowControl w:val="0"/>
        <w:spacing w:before="120"/>
        <w:ind w:firstLine="567"/>
        <w:rPr>
          <w:bCs/>
        </w:rPr>
      </w:pPr>
      <w:bookmarkStart w:id="10" w:name="_Hlk200362076"/>
      <w:r w:rsidRPr="00A17C40">
        <w:t>Tổ chức, cá nhân là chủ dự án đầu tư, cơ sở nộp hồ sơ đề nghị cấp, cấp lại, điều chỉnh giấy phép môi trường của các dự án, cơ sở trên đ</w:t>
      </w:r>
      <w:r>
        <w:t>ị</w:t>
      </w:r>
      <w:r w:rsidRPr="00A17C40">
        <w:t>a bàn thành phố Đà Nẵng (dự án đầu tư, cơ sở thuộc thẩm quyền cấp giấy phép môi trường của Chủ tịch Ủy ban nhân dân thành phố; dự án đầu tư, cơ sở thuộc thẩm quyền của Bộ Nông nghiệp và Môi trường đã được phân cấp, giao cho Chủ tịch Ủy ban nhân dân thành phố; dự án đầu tư, cơ sở được giao cho Ban Quản lý Khu công nghệ cao và các Khu công nghiệp Đà Nẵng theo khoản 3 Điều 11 và điểm đ khoản 8 Điều 13 Nghị quyết số 136/2024/QH15).</w:t>
      </w:r>
    </w:p>
    <w:bookmarkEnd w:id="10"/>
    <w:p w14:paraId="53EDB4DB" w14:textId="77777777" w:rsidR="00E20197" w:rsidRPr="00E20197" w:rsidRDefault="00E22AFA" w:rsidP="00312AB6">
      <w:pPr>
        <w:widowControl w:val="0"/>
        <w:spacing w:before="120" w:after="120"/>
        <w:ind w:firstLine="567"/>
        <w:rPr>
          <w:bCs/>
          <w:color w:val="000000" w:themeColor="text1"/>
        </w:rPr>
      </w:pPr>
      <w:r>
        <w:rPr>
          <w:b/>
          <w:color w:val="000000" w:themeColor="text1"/>
        </w:rPr>
        <w:t xml:space="preserve">5. </w:t>
      </w:r>
      <w:r w:rsidR="00E20197">
        <w:rPr>
          <w:b/>
          <w:color w:val="000000" w:themeColor="text1"/>
        </w:rPr>
        <w:t xml:space="preserve">Đối tượng miễn, giảm phí: </w:t>
      </w:r>
      <w:r w:rsidR="00E20197">
        <w:rPr>
          <w:bCs/>
          <w:color w:val="000000" w:themeColor="text1"/>
        </w:rPr>
        <w:t>không quy định.</w:t>
      </w:r>
    </w:p>
    <w:p w14:paraId="6140189D" w14:textId="3713EF9B" w:rsidR="003D57C3" w:rsidRDefault="00E22AFA" w:rsidP="00312AB6">
      <w:pPr>
        <w:widowControl w:val="0"/>
        <w:spacing w:before="120" w:after="120"/>
        <w:ind w:firstLine="567"/>
        <w:rPr>
          <w:color w:val="000000" w:themeColor="text1"/>
        </w:rPr>
      </w:pPr>
      <w:r>
        <w:rPr>
          <w:b/>
          <w:color w:val="000000" w:themeColor="text1"/>
        </w:rPr>
        <w:t>6</w:t>
      </w:r>
      <w:r w:rsidR="00611934" w:rsidRPr="008E49D0">
        <w:rPr>
          <w:b/>
          <w:color w:val="000000" w:themeColor="text1"/>
        </w:rPr>
        <w:t xml:space="preserve">. </w:t>
      </w:r>
      <w:r w:rsidR="00243F28" w:rsidRPr="00A01832">
        <w:rPr>
          <w:b/>
          <w:color w:val="000000" w:themeColor="text1"/>
        </w:rPr>
        <w:t>Cơ quan thu phí</w:t>
      </w:r>
    </w:p>
    <w:p w14:paraId="2232C04B" w14:textId="009EB170" w:rsidR="00116C52" w:rsidRPr="00116C52" w:rsidRDefault="00116C52" w:rsidP="00116C52">
      <w:pPr>
        <w:pStyle w:val="NormalWeb"/>
        <w:widowControl w:val="0"/>
        <w:spacing w:before="120" w:beforeAutospacing="0" w:after="0" w:afterAutospacing="0"/>
        <w:ind w:firstLine="567"/>
        <w:jc w:val="both"/>
        <w:rPr>
          <w:sz w:val="28"/>
          <w:szCs w:val="28"/>
          <w:lang w:val="vi-VN"/>
        </w:rPr>
      </w:pPr>
      <w:r w:rsidRPr="00116C52">
        <w:rPr>
          <w:sz w:val="28"/>
          <w:szCs w:val="28"/>
          <w:lang w:val="vi-VN"/>
        </w:rPr>
        <w:t xml:space="preserve">a) Đối với các dự án đầu tư nằm trong Khu Công nghệ cao Đà Nẵng, Khu Công nghệ thông tin tập trung, Khu thương mại tự do Đà Nẵng, các Khu công nghiệp, Khu kinh tế trên địa bàn thành phố Đà Nẵng: Cơ quan thu phí là Ban Quản lý Khu công nghệ cao và các Khu công nghiệp Đà Nẵng, Ban Quản lý các Khu </w:t>
      </w:r>
      <w:r w:rsidRPr="00116C52">
        <w:rPr>
          <w:sz w:val="28"/>
          <w:szCs w:val="28"/>
          <w:lang w:val="vi-VN"/>
        </w:rPr>
        <w:lastRenderedPageBreak/>
        <w:t>kinh tế và khu công nghiệp tỉnh Quảng Nam</w:t>
      </w:r>
      <w:r w:rsidR="0076184C">
        <w:rPr>
          <w:rStyle w:val="FootnoteReference"/>
          <w:sz w:val="28"/>
          <w:szCs w:val="28"/>
          <w:lang w:val="vi-VN"/>
        </w:rPr>
        <w:footnoteReference w:id="7"/>
      </w:r>
      <w:r w:rsidRPr="00116C52">
        <w:rPr>
          <w:sz w:val="28"/>
          <w:szCs w:val="28"/>
          <w:lang w:val="vi-VN"/>
        </w:rPr>
        <w:t>.</w:t>
      </w:r>
    </w:p>
    <w:p w14:paraId="12DBF16A" w14:textId="1007B1B3" w:rsidR="007B2AA0" w:rsidRPr="0001635F" w:rsidRDefault="00116C52" w:rsidP="00116C52">
      <w:pPr>
        <w:widowControl w:val="0"/>
        <w:spacing w:before="120" w:after="120"/>
        <w:ind w:firstLine="567"/>
        <w:rPr>
          <w:color w:val="000000" w:themeColor="text1"/>
        </w:rPr>
      </w:pPr>
      <w:r w:rsidRPr="00DD5D24">
        <w:t>b) Đối với các dự án đ</w:t>
      </w:r>
      <w:r>
        <w:t>ầu tư không thuộc điểm a khoản này: C</w:t>
      </w:r>
      <w:r w:rsidRPr="00DD5D24">
        <w:t>ơ quan thu phí là Chi cục Bảo vệ môi trường thành phố Đà Nẵng.</w:t>
      </w:r>
    </w:p>
    <w:p w14:paraId="72FD1DD1" w14:textId="77777777" w:rsidR="003D57C3" w:rsidRPr="00A01832" w:rsidRDefault="00243F28" w:rsidP="00312AB6">
      <w:pPr>
        <w:widowControl w:val="0"/>
        <w:spacing w:before="120" w:after="120"/>
        <w:ind w:firstLine="567"/>
        <w:rPr>
          <w:b/>
          <w:color w:val="000000" w:themeColor="text1"/>
        </w:rPr>
      </w:pPr>
      <w:bookmarkStart w:id="11" w:name="_heading=h.3znysh7" w:colFirst="0" w:colLast="0"/>
      <w:bookmarkStart w:id="12" w:name="_heading=h.2et92p0" w:colFirst="0" w:colLast="0"/>
      <w:bookmarkEnd w:id="11"/>
      <w:bookmarkEnd w:id="12"/>
      <w:r w:rsidRPr="00A01832">
        <w:rPr>
          <w:b/>
          <w:color w:val="000000" w:themeColor="text1"/>
        </w:rPr>
        <w:t>V. PHƯƠNG ÁN QUẢN LÝ</w:t>
      </w:r>
      <w:r w:rsidR="003730AD">
        <w:rPr>
          <w:b/>
          <w:color w:val="000000" w:themeColor="text1"/>
        </w:rPr>
        <w:t>,</w:t>
      </w:r>
      <w:r w:rsidRPr="00A01832">
        <w:rPr>
          <w:b/>
          <w:color w:val="000000" w:themeColor="text1"/>
        </w:rPr>
        <w:t xml:space="preserve"> SỬ DỤNG PHÍ</w:t>
      </w:r>
    </w:p>
    <w:p w14:paraId="736DD282" w14:textId="77777777" w:rsidR="00882839" w:rsidRPr="00C60A50" w:rsidRDefault="00243F28" w:rsidP="00312AB6">
      <w:pPr>
        <w:widowControl w:val="0"/>
        <w:spacing w:before="120" w:after="120"/>
        <w:ind w:firstLine="567"/>
        <w:rPr>
          <w:b/>
          <w:color w:val="000000" w:themeColor="text1"/>
        </w:rPr>
      </w:pPr>
      <w:bookmarkStart w:id="13" w:name="_heading=h.2s8eyo1" w:colFirst="0" w:colLast="0"/>
      <w:bookmarkEnd w:id="13"/>
      <w:r w:rsidRPr="00611934">
        <w:rPr>
          <w:b/>
          <w:color w:val="000000" w:themeColor="text1"/>
        </w:rPr>
        <w:t xml:space="preserve">1. </w:t>
      </w:r>
      <w:r w:rsidR="00882839">
        <w:rPr>
          <w:b/>
          <w:color w:val="000000" w:themeColor="text1"/>
        </w:rPr>
        <w:t>Dự toán thu, chi</w:t>
      </w:r>
    </w:p>
    <w:p w14:paraId="5731C188" w14:textId="12D76A0F" w:rsidR="00B17B27" w:rsidRPr="00C60A50" w:rsidRDefault="00B17B27" w:rsidP="00312AB6">
      <w:pPr>
        <w:widowControl w:val="0"/>
        <w:spacing w:before="120" w:after="120"/>
        <w:ind w:firstLine="567"/>
        <w:rPr>
          <w:color w:val="000000" w:themeColor="text1"/>
        </w:rPr>
      </w:pPr>
      <w:r w:rsidRPr="00C60A50">
        <w:rPr>
          <w:color w:val="000000" w:themeColor="text1"/>
        </w:rPr>
        <w:t>Theo số liệu thống kê từ năm 20</w:t>
      </w:r>
      <w:r w:rsidR="00325B07">
        <w:rPr>
          <w:color w:val="000000" w:themeColor="text1"/>
        </w:rPr>
        <w:t>2</w:t>
      </w:r>
      <w:r w:rsidR="00D40E23">
        <w:rPr>
          <w:color w:val="000000" w:themeColor="text1"/>
        </w:rPr>
        <w:t>2</w:t>
      </w:r>
      <w:r w:rsidRPr="00C60A50">
        <w:rPr>
          <w:color w:val="000000" w:themeColor="text1"/>
        </w:rPr>
        <w:t xml:space="preserve"> đến </w:t>
      </w:r>
      <w:r w:rsidR="00325B07">
        <w:rPr>
          <w:color w:val="000000" w:themeColor="text1"/>
        </w:rPr>
        <w:t>30/5/</w:t>
      </w:r>
      <w:r w:rsidRPr="00C60A50">
        <w:rPr>
          <w:color w:val="000000" w:themeColor="text1"/>
        </w:rPr>
        <w:t>202</w:t>
      </w:r>
      <w:r w:rsidR="00325B07">
        <w:rPr>
          <w:color w:val="000000" w:themeColor="text1"/>
        </w:rPr>
        <w:t>5</w:t>
      </w:r>
      <w:r w:rsidRPr="00C60A50">
        <w:rPr>
          <w:color w:val="000000" w:themeColor="text1"/>
        </w:rPr>
        <w:t xml:space="preserve"> thì số lượng hồ sơ thu phí thẩm định </w:t>
      </w:r>
      <w:r w:rsidR="00732A33">
        <w:t>cấp, cấp lại, điều chỉnh giấy phép môi trường</w:t>
      </w:r>
      <w:r w:rsidR="00325B07" w:rsidRPr="00DD5D24">
        <w:t xml:space="preserve"> </w:t>
      </w:r>
      <w:r w:rsidR="004215EA">
        <w:t>trên địa bàn</w:t>
      </w:r>
      <w:r w:rsidR="004215EA" w:rsidRPr="004215EA">
        <w:t xml:space="preserve"> </w:t>
      </w:r>
      <w:r w:rsidR="004215EA">
        <w:t xml:space="preserve">thành phố Đà Nẵng và tỉnh Quảng Nam </w:t>
      </w:r>
      <w:r w:rsidRPr="00C60A50">
        <w:rPr>
          <w:color w:val="000000" w:themeColor="text1"/>
        </w:rPr>
        <w:t xml:space="preserve">trung bình </w:t>
      </w:r>
      <w:r w:rsidRPr="004215EA">
        <w:rPr>
          <w:color w:val="000000" w:themeColor="text1"/>
        </w:rPr>
        <w:t xml:space="preserve">là </w:t>
      </w:r>
      <w:r w:rsidR="00F24C7A">
        <w:rPr>
          <w:color w:val="000000" w:themeColor="text1"/>
        </w:rPr>
        <w:t>64</w:t>
      </w:r>
      <w:r w:rsidRPr="004215EA">
        <w:rPr>
          <w:color w:val="000000" w:themeColor="text1"/>
        </w:rPr>
        <w:t xml:space="preserve"> hồ sơ/năm.</w:t>
      </w:r>
      <w:r w:rsidRPr="00C60A50">
        <w:rPr>
          <w:color w:val="000000" w:themeColor="text1"/>
        </w:rPr>
        <w:t xml:space="preserve"> </w:t>
      </w:r>
      <w:r w:rsidR="001D32AD">
        <w:rPr>
          <w:color w:val="000000" w:themeColor="text1"/>
        </w:rPr>
        <w:t>Dự kiến sau khi sáp nhập tỉnh Quảng Nam và thành phố Đà Nẵng</w:t>
      </w:r>
      <w:r w:rsidR="00E14A46">
        <w:rPr>
          <w:color w:val="000000" w:themeColor="text1"/>
        </w:rPr>
        <w:t xml:space="preserve"> có khoảng 500 dự án triển khai trong thời gian đến</w:t>
      </w:r>
      <w:r w:rsidR="00E14A46">
        <w:rPr>
          <w:rStyle w:val="FootnoteReference"/>
          <w:color w:val="000000" w:themeColor="text1"/>
        </w:rPr>
        <w:footnoteReference w:id="8"/>
      </w:r>
      <w:r w:rsidR="00E14A46">
        <w:rPr>
          <w:color w:val="000000" w:themeColor="text1"/>
        </w:rPr>
        <w:t>.</w:t>
      </w:r>
      <w:r w:rsidR="001D32AD">
        <w:rPr>
          <w:color w:val="000000" w:themeColor="text1"/>
        </w:rPr>
        <w:t xml:space="preserve"> </w:t>
      </w:r>
      <w:r w:rsidRPr="00C60A50">
        <w:rPr>
          <w:color w:val="000000" w:themeColor="text1"/>
        </w:rPr>
        <w:t xml:space="preserve">Do đó, để đảm bảo phù hợp cho hoạt động thẩm định </w:t>
      </w:r>
      <w:r w:rsidR="00732A33">
        <w:t>cấp, cấp lại, điều chỉnh giấy phép môi trường</w:t>
      </w:r>
      <w:r w:rsidRPr="00C60A50">
        <w:rPr>
          <w:color w:val="000000" w:themeColor="text1"/>
        </w:rPr>
        <w:t xml:space="preserve">, dự toán thu chi sẽ được xác định dựa trên số lượng hồ sơ đề nghị thẩm định </w:t>
      </w:r>
      <w:r w:rsidR="00732A33">
        <w:t>cấp, cấp lại, điều chỉnh giấy phép môi trường</w:t>
      </w:r>
      <w:r w:rsidR="001D32AD" w:rsidRPr="00DD5D24">
        <w:t xml:space="preserve"> </w:t>
      </w:r>
      <w:r w:rsidRPr="00C60A50">
        <w:rPr>
          <w:color w:val="000000" w:themeColor="text1"/>
        </w:rPr>
        <w:t>dự kiến phát sinh</w:t>
      </w:r>
      <w:r w:rsidR="00E14A46">
        <w:rPr>
          <w:color w:val="000000" w:themeColor="text1"/>
        </w:rPr>
        <w:t xml:space="preserve"> năm </w:t>
      </w:r>
      <w:r w:rsidR="00E14A46" w:rsidRPr="00E14A46">
        <w:rPr>
          <w:color w:val="000000" w:themeColor="text1"/>
        </w:rPr>
        <w:t>2026</w:t>
      </w:r>
      <w:r w:rsidRPr="00E14A46">
        <w:rPr>
          <w:color w:val="000000" w:themeColor="text1"/>
        </w:rPr>
        <w:t xml:space="preserve"> là </w:t>
      </w:r>
      <w:r w:rsidR="00E14A46" w:rsidRPr="00E14A46">
        <w:rPr>
          <w:color w:val="000000" w:themeColor="text1"/>
        </w:rPr>
        <w:t>100</w:t>
      </w:r>
      <w:r w:rsidRPr="00E14A46">
        <w:rPr>
          <w:color w:val="000000" w:themeColor="text1"/>
        </w:rPr>
        <w:t xml:space="preserve"> hồ sơ.</w:t>
      </w:r>
    </w:p>
    <w:p w14:paraId="2ADA656F" w14:textId="7D8881E0" w:rsidR="0090204C" w:rsidRPr="00C60A50" w:rsidRDefault="0090204C" w:rsidP="00312AB6">
      <w:pPr>
        <w:widowControl w:val="0"/>
        <w:spacing w:before="120" w:after="120"/>
        <w:ind w:firstLine="567"/>
        <w:rPr>
          <w:color w:val="000000" w:themeColor="text1"/>
        </w:rPr>
      </w:pPr>
      <w:r w:rsidRPr="00C60A50">
        <w:rPr>
          <w:color w:val="000000" w:themeColor="text1"/>
        </w:rPr>
        <w:t xml:space="preserve">Chi tiết dự toán thu, chi cho hoạt động thẩm định </w:t>
      </w:r>
      <w:r w:rsidR="00732A33">
        <w:t>cấp, cấp lại, điều chỉnh giấy phép môi trường</w:t>
      </w:r>
      <w:r w:rsidR="001D32AD" w:rsidRPr="00DD5D24">
        <w:t xml:space="preserve"> </w:t>
      </w:r>
      <w:r w:rsidRPr="00C60A50">
        <w:rPr>
          <w:color w:val="000000" w:themeColor="text1"/>
        </w:rPr>
        <w:t>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
        <w:gridCol w:w="1800"/>
        <w:gridCol w:w="830"/>
        <w:gridCol w:w="1383"/>
        <w:gridCol w:w="968"/>
        <w:gridCol w:w="1660"/>
        <w:gridCol w:w="1763"/>
      </w:tblGrid>
      <w:tr w:rsidR="007334D3" w:rsidRPr="00E30842" w14:paraId="2A966877" w14:textId="77777777" w:rsidTr="007334D3">
        <w:trPr>
          <w:trHeight w:val="698"/>
        </w:trPr>
        <w:tc>
          <w:tcPr>
            <w:tcW w:w="363" w:type="pct"/>
            <w:shd w:val="clear" w:color="auto" w:fill="auto"/>
            <w:vAlign w:val="center"/>
            <w:hideMark/>
          </w:tcPr>
          <w:p w14:paraId="177223CD" w14:textId="77777777" w:rsidR="00E30842" w:rsidRPr="00B17B27" w:rsidRDefault="00E30842" w:rsidP="00B17B27">
            <w:pPr>
              <w:jc w:val="center"/>
              <w:rPr>
                <w:b/>
                <w:bCs/>
                <w:sz w:val="24"/>
                <w:szCs w:val="24"/>
                <w:lang w:val="en-US" w:eastAsia="ja-JP"/>
              </w:rPr>
            </w:pPr>
            <w:r w:rsidRPr="00B17B27">
              <w:rPr>
                <w:b/>
                <w:bCs/>
                <w:sz w:val="24"/>
                <w:szCs w:val="24"/>
                <w:lang w:val="en-US" w:eastAsia="ja-JP"/>
              </w:rPr>
              <w:t>TT</w:t>
            </w:r>
          </w:p>
        </w:tc>
        <w:tc>
          <w:tcPr>
            <w:tcW w:w="993" w:type="pct"/>
            <w:shd w:val="clear" w:color="auto" w:fill="auto"/>
            <w:vAlign w:val="center"/>
            <w:hideMark/>
          </w:tcPr>
          <w:p w14:paraId="10D42619" w14:textId="77777777" w:rsidR="00E30842" w:rsidRPr="00B17B27" w:rsidRDefault="00E30842" w:rsidP="00B17B27">
            <w:pPr>
              <w:jc w:val="center"/>
              <w:rPr>
                <w:b/>
                <w:bCs/>
                <w:sz w:val="24"/>
                <w:szCs w:val="24"/>
                <w:lang w:val="en-US" w:eastAsia="ja-JP"/>
              </w:rPr>
            </w:pPr>
            <w:r w:rsidRPr="00B17B27">
              <w:rPr>
                <w:b/>
                <w:bCs/>
                <w:sz w:val="24"/>
                <w:szCs w:val="24"/>
                <w:lang w:val="en-US" w:eastAsia="ja-JP"/>
              </w:rPr>
              <w:t>Nội dung công việc</w:t>
            </w:r>
          </w:p>
        </w:tc>
        <w:tc>
          <w:tcPr>
            <w:tcW w:w="458" w:type="pct"/>
            <w:shd w:val="clear" w:color="auto" w:fill="auto"/>
            <w:vAlign w:val="center"/>
            <w:hideMark/>
          </w:tcPr>
          <w:p w14:paraId="35C65085" w14:textId="77777777" w:rsidR="00E30842" w:rsidRPr="00B17B27" w:rsidRDefault="00E30842" w:rsidP="00B17B27">
            <w:pPr>
              <w:jc w:val="center"/>
              <w:rPr>
                <w:b/>
                <w:bCs/>
                <w:sz w:val="24"/>
                <w:szCs w:val="24"/>
                <w:lang w:val="en-US" w:eastAsia="ja-JP"/>
              </w:rPr>
            </w:pPr>
            <w:r w:rsidRPr="00B17B27">
              <w:rPr>
                <w:b/>
                <w:bCs/>
                <w:sz w:val="24"/>
                <w:szCs w:val="24"/>
                <w:lang w:val="en-US" w:eastAsia="ja-JP"/>
              </w:rPr>
              <w:t>Số lượng</w:t>
            </w:r>
          </w:p>
        </w:tc>
        <w:tc>
          <w:tcPr>
            <w:tcW w:w="763" w:type="pct"/>
            <w:shd w:val="clear" w:color="auto" w:fill="auto"/>
            <w:vAlign w:val="center"/>
            <w:hideMark/>
          </w:tcPr>
          <w:p w14:paraId="140BC414" w14:textId="77777777" w:rsidR="00E30842" w:rsidRPr="00B17B27" w:rsidRDefault="00E30842" w:rsidP="00B17B27">
            <w:pPr>
              <w:jc w:val="center"/>
              <w:rPr>
                <w:b/>
                <w:bCs/>
                <w:sz w:val="24"/>
                <w:szCs w:val="24"/>
                <w:lang w:val="en-US" w:eastAsia="ja-JP"/>
              </w:rPr>
            </w:pPr>
            <w:r w:rsidRPr="00B17B27">
              <w:rPr>
                <w:b/>
                <w:bCs/>
                <w:sz w:val="24"/>
                <w:szCs w:val="24"/>
                <w:lang w:val="en-US" w:eastAsia="ja-JP"/>
              </w:rPr>
              <w:t>Đơn giá</w:t>
            </w:r>
          </w:p>
        </w:tc>
        <w:tc>
          <w:tcPr>
            <w:tcW w:w="534" w:type="pct"/>
            <w:shd w:val="clear" w:color="auto" w:fill="auto"/>
            <w:vAlign w:val="center"/>
            <w:hideMark/>
          </w:tcPr>
          <w:p w14:paraId="226DEADD" w14:textId="77777777" w:rsidR="00E30842" w:rsidRPr="00B17B27" w:rsidRDefault="00E30842" w:rsidP="00B17B27">
            <w:pPr>
              <w:jc w:val="center"/>
              <w:rPr>
                <w:b/>
                <w:bCs/>
                <w:sz w:val="24"/>
                <w:szCs w:val="24"/>
                <w:lang w:val="en-US" w:eastAsia="ja-JP"/>
              </w:rPr>
            </w:pPr>
            <w:r w:rsidRPr="00B17B27">
              <w:rPr>
                <w:b/>
                <w:bCs/>
                <w:sz w:val="24"/>
                <w:szCs w:val="24"/>
                <w:lang w:val="en-US" w:eastAsia="ja-JP"/>
              </w:rPr>
              <w:t xml:space="preserve">Số hồ sơ </w:t>
            </w:r>
          </w:p>
        </w:tc>
        <w:tc>
          <w:tcPr>
            <w:tcW w:w="916" w:type="pct"/>
            <w:shd w:val="clear" w:color="auto" w:fill="auto"/>
            <w:vAlign w:val="center"/>
            <w:hideMark/>
          </w:tcPr>
          <w:p w14:paraId="6DD7F194" w14:textId="77777777" w:rsidR="00E30842" w:rsidRPr="00B17B27" w:rsidRDefault="00E30842" w:rsidP="00B17B27">
            <w:pPr>
              <w:jc w:val="center"/>
              <w:rPr>
                <w:b/>
                <w:bCs/>
                <w:sz w:val="24"/>
                <w:szCs w:val="24"/>
                <w:lang w:val="en-US" w:eastAsia="ja-JP"/>
              </w:rPr>
            </w:pPr>
            <w:r w:rsidRPr="00B17B27">
              <w:rPr>
                <w:b/>
                <w:bCs/>
                <w:sz w:val="24"/>
                <w:szCs w:val="24"/>
                <w:lang w:val="en-US" w:eastAsia="ja-JP"/>
              </w:rPr>
              <w:t xml:space="preserve">Thành tiền </w:t>
            </w:r>
          </w:p>
        </w:tc>
        <w:tc>
          <w:tcPr>
            <w:tcW w:w="973" w:type="pct"/>
            <w:shd w:val="clear" w:color="auto" w:fill="auto"/>
            <w:vAlign w:val="center"/>
            <w:hideMark/>
          </w:tcPr>
          <w:p w14:paraId="105BBE0B" w14:textId="77777777" w:rsidR="00E30842" w:rsidRPr="00B17B27" w:rsidRDefault="00E30842" w:rsidP="00B17B27">
            <w:pPr>
              <w:jc w:val="center"/>
              <w:rPr>
                <w:b/>
                <w:bCs/>
                <w:sz w:val="24"/>
                <w:szCs w:val="24"/>
                <w:lang w:val="en-US" w:eastAsia="ja-JP"/>
              </w:rPr>
            </w:pPr>
            <w:r w:rsidRPr="00B17B27">
              <w:rPr>
                <w:b/>
                <w:bCs/>
                <w:sz w:val="24"/>
                <w:szCs w:val="24"/>
                <w:lang w:val="en-US" w:eastAsia="ja-JP"/>
              </w:rPr>
              <w:t>Ghi chú</w:t>
            </w:r>
          </w:p>
        </w:tc>
      </w:tr>
      <w:tr w:rsidR="007334D3" w:rsidRPr="006B384F" w14:paraId="03F80356" w14:textId="77777777" w:rsidTr="007334D3">
        <w:trPr>
          <w:trHeight w:val="335"/>
        </w:trPr>
        <w:tc>
          <w:tcPr>
            <w:tcW w:w="363" w:type="pct"/>
            <w:shd w:val="clear" w:color="auto" w:fill="auto"/>
            <w:vAlign w:val="center"/>
          </w:tcPr>
          <w:p w14:paraId="3E880588" w14:textId="2A69ED40" w:rsidR="006B384F" w:rsidRPr="006B384F" w:rsidRDefault="006B384F" w:rsidP="00B17B27">
            <w:pPr>
              <w:jc w:val="center"/>
              <w:rPr>
                <w:sz w:val="24"/>
                <w:szCs w:val="24"/>
                <w:lang w:val="en-US" w:eastAsia="ja-JP"/>
              </w:rPr>
            </w:pPr>
            <w:r>
              <w:rPr>
                <w:sz w:val="24"/>
                <w:szCs w:val="24"/>
                <w:lang w:val="en-US" w:eastAsia="ja-JP"/>
              </w:rPr>
              <w:t>(1)</w:t>
            </w:r>
          </w:p>
        </w:tc>
        <w:tc>
          <w:tcPr>
            <w:tcW w:w="993" w:type="pct"/>
            <w:shd w:val="clear" w:color="auto" w:fill="auto"/>
            <w:vAlign w:val="center"/>
          </w:tcPr>
          <w:p w14:paraId="034901E9" w14:textId="512A6446" w:rsidR="006B384F" w:rsidRPr="006B384F" w:rsidRDefault="006B384F" w:rsidP="00B17B27">
            <w:pPr>
              <w:jc w:val="center"/>
              <w:rPr>
                <w:sz w:val="24"/>
                <w:szCs w:val="24"/>
                <w:lang w:val="en-US" w:eastAsia="ja-JP"/>
              </w:rPr>
            </w:pPr>
            <w:r>
              <w:rPr>
                <w:sz w:val="24"/>
                <w:szCs w:val="24"/>
                <w:lang w:val="en-US" w:eastAsia="ja-JP"/>
              </w:rPr>
              <w:t>(2)</w:t>
            </w:r>
          </w:p>
        </w:tc>
        <w:tc>
          <w:tcPr>
            <w:tcW w:w="458" w:type="pct"/>
            <w:shd w:val="clear" w:color="auto" w:fill="auto"/>
            <w:vAlign w:val="center"/>
          </w:tcPr>
          <w:p w14:paraId="22DAF068" w14:textId="7BB88BFC" w:rsidR="006B384F" w:rsidRPr="006B384F" w:rsidRDefault="006B384F" w:rsidP="00B17B27">
            <w:pPr>
              <w:jc w:val="center"/>
              <w:rPr>
                <w:sz w:val="24"/>
                <w:szCs w:val="24"/>
                <w:lang w:val="en-US" w:eastAsia="ja-JP"/>
              </w:rPr>
            </w:pPr>
            <w:r>
              <w:rPr>
                <w:sz w:val="24"/>
                <w:szCs w:val="24"/>
                <w:lang w:val="en-US" w:eastAsia="ja-JP"/>
              </w:rPr>
              <w:t>(3)</w:t>
            </w:r>
          </w:p>
        </w:tc>
        <w:tc>
          <w:tcPr>
            <w:tcW w:w="763" w:type="pct"/>
            <w:shd w:val="clear" w:color="auto" w:fill="auto"/>
            <w:vAlign w:val="center"/>
          </w:tcPr>
          <w:p w14:paraId="4445986E" w14:textId="29878157" w:rsidR="006B384F" w:rsidRPr="006B384F" w:rsidRDefault="006B384F" w:rsidP="00B17B27">
            <w:pPr>
              <w:jc w:val="center"/>
              <w:rPr>
                <w:sz w:val="24"/>
                <w:szCs w:val="24"/>
                <w:lang w:val="en-US" w:eastAsia="ja-JP"/>
              </w:rPr>
            </w:pPr>
            <w:r>
              <w:rPr>
                <w:sz w:val="24"/>
                <w:szCs w:val="24"/>
                <w:lang w:val="en-US" w:eastAsia="ja-JP"/>
              </w:rPr>
              <w:t>(4)</w:t>
            </w:r>
          </w:p>
        </w:tc>
        <w:tc>
          <w:tcPr>
            <w:tcW w:w="534" w:type="pct"/>
            <w:shd w:val="clear" w:color="auto" w:fill="auto"/>
            <w:vAlign w:val="center"/>
          </w:tcPr>
          <w:p w14:paraId="3CF58BDA" w14:textId="21E0255D" w:rsidR="006B384F" w:rsidRPr="006B384F" w:rsidRDefault="006B384F" w:rsidP="00B17B27">
            <w:pPr>
              <w:jc w:val="center"/>
              <w:rPr>
                <w:sz w:val="24"/>
                <w:szCs w:val="24"/>
                <w:lang w:val="en-US" w:eastAsia="ja-JP"/>
              </w:rPr>
            </w:pPr>
            <w:r>
              <w:rPr>
                <w:sz w:val="24"/>
                <w:szCs w:val="24"/>
                <w:lang w:val="en-US" w:eastAsia="ja-JP"/>
              </w:rPr>
              <w:t>(5)</w:t>
            </w:r>
          </w:p>
        </w:tc>
        <w:tc>
          <w:tcPr>
            <w:tcW w:w="916" w:type="pct"/>
            <w:shd w:val="clear" w:color="auto" w:fill="auto"/>
            <w:vAlign w:val="center"/>
          </w:tcPr>
          <w:p w14:paraId="33030682" w14:textId="6E29085C" w:rsidR="006B384F" w:rsidRPr="006B384F" w:rsidRDefault="006B384F" w:rsidP="00B17B27">
            <w:pPr>
              <w:jc w:val="center"/>
              <w:rPr>
                <w:sz w:val="24"/>
                <w:szCs w:val="24"/>
                <w:lang w:val="en-US" w:eastAsia="ja-JP"/>
              </w:rPr>
            </w:pPr>
            <w:r>
              <w:rPr>
                <w:sz w:val="24"/>
                <w:szCs w:val="24"/>
                <w:lang w:val="en-US" w:eastAsia="ja-JP"/>
              </w:rPr>
              <w:t>(6)</w:t>
            </w:r>
          </w:p>
        </w:tc>
        <w:tc>
          <w:tcPr>
            <w:tcW w:w="973" w:type="pct"/>
            <w:shd w:val="clear" w:color="auto" w:fill="auto"/>
            <w:vAlign w:val="center"/>
          </w:tcPr>
          <w:p w14:paraId="161D7AAD" w14:textId="2EE801D2" w:rsidR="006B384F" w:rsidRPr="006B384F" w:rsidRDefault="006B384F" w:rsidP="00B17B27">
            <w:pPr>
              <w:jc w:val="center"/>
              <w:rPr>
                <w:sz w:val="24"/>
                <w:szCs w:val="24"/>
                <w:lang w:val="en-US" w:eastAsia="ja-JP"/>
              </w:rPr>
            </w:pPr>
            <w:r>
              <w:rPr>
                <w:sz w:val="24"/>
                <w:szCs w:val="24"/>
                <w:lang w:val="en-US" w:eastAsia="ja-JP"/>
              </w:rPr>
              <w:t>(7)</w:t>
            </w:r>
          </w:p>
        </w:tc>
      </w:tr>
      <w:tr w:rsidR="007334D3" w:rsidRPr="00E30842" w14:paraId="5AC79F43" w14:textId="77777777" w:rsidTr="00DE6E90">
        <w:trPr>
          <w:trHeight w:val="375"/>
        </w:trPr>
        <w:tc>
          <w:tcPr>
            <w:tcW w:w="363" w:type="pct"/>
            <w:shd w:val="clear" w:color="auto" w:fill="auto"/>
            <w:vAlign w:val="center"/>
            <w:hideMark/>
          </w:tcPr>
          <w:p w14:paraId="6732671C" w14:textId="77777777" w:rsidR="00E30842" w:rsidRPr="00B17B27" w:rsidRDefault="00E30842" w:rsidP="00B17B27">
            <w:pPr>
              <w:jc w:val="center"/>
              <w:rPr>
                <w:b/>
                <w:bCs/>
                <w:sz w:val="24"/>
                <w:szCs w:val="24"/>
                <w:lang w:val="en-US" w:eastAsia="ja-JP"/>
              </w:rPr>
            </w:pPr>
            <w:r w:rsidRPr="00B17B27">
              <w:rPr>
                <w:b/>
                <w:bCs/>
                <w:sz w:val="24"/>
                <w:szCs w:val="24"/>
                <w:lang w:val="en-US" w:eastAsia="ja-JP"/>
              </w:rPr>
              <w:t>I</w:t>
            </w:r>
          </w:p>
        </w:tc>
        <w:tc>
          <w:tcPr>
            <w:tcW w:w="993" w:type="pct"/>
            <w:shd w:val="clear" w:color="auto" w:fill="auto"/>
            <w:noWrap/>
            <w:vAlign w:val="center"/>
            <w:hideMark/>
          </w:tcPr>
          <w:p w14:paraId="13AA7AC3" w14:textId="6AAC712A" w:rsidR="00E30842" w:rsidRPr="00B17B27" w:rsidRDefault="00E30842" w:rsidP="00B17B27">
            <w:pPr>
              <w:rPr>
                <w:b/>
                <w:bCs/>
                <w:sz w:val="24"/>
                <w:szCs w:val="24"/>
                <w:lang w:val="en-US" w:eastAsia="ja-JP"/>
              </w:rPr>
            </w:pPr>
            <w:r w:rsidRPr="00B17B27">
              <w:rPr>
                <w:b/>
                <w:bCs/>
                <w:sz w:val="24"/>
                <w:szCs w:val="24"/>
                <w:lang w:val="en-US" w:eastAsia="ja-JP"/>
              </w:rPr>
              <w:t>TỔNG THU (số hồ sơ dự kiến</w:t>
            </w:r>
            <w:r w:rsidR="00575A9D">
              <w:rPr>
                <w:b/>
                <w:bCs/>
                <w:sz w:val="24"/>
                <w:szCs w:val="24"/>
                <w:lang w:val="en-US" w:eastAsia="ja-JP"/>
              </w:rPr>
              <w:t xml:space="preserve"> </w:t>
            </w:r>
            <w:r w:rsidR="00DE6E90">
              <w:rPr>
                <w:b/>
                <w:bCs/>
                <w:sz w:val="24"/>
                <w:szCs w:val="24"/>
                <w:lang w:val="en-US" w:eastAsia="ja-JP"/>
              </w:rPr>
              <w:t>năm 2026</w:t>
            </w:r>
            <w:r w:rsidRPr="00B17B27">
              <w:rPr>
                <w:b/>
                <w:bCs/>
                <w:sz w:val="24"/>
                <w:szCs w:val="24"/>
                <w:lang w:val="en-US" w:eastAsia="ja-JP"/>
              </w:rPr>
              <w:t>)</w:t>
            </w:r>
          </w:p>
        </w:tc>
        <w:tc>
          <w:tcPr>
            <w:tcW w:w="458" w:type="pct"/>
            <w:shd w:val="clear" w:color="auto" w:fill="auto"/>
            <w:vAlign w:val="center"/>
            <w:hideMark/>
          </w:tcPr>
          <w:p w14:paraId="0E34394C" w14:textId="77777777" w:rsidR="00E30842" w:rsidRPr="00B17B27" w:rsidRDefault="00E30842" w:rsidP="00B17B27">
            <w:pPr>
              <w:jc w:val="center"/>
              <w:rPr>
                <w:b/>
                <w:bCs/>
                <w:sz w:val="24"/>
                <w:szCs w:val="24"/>
                <w:lang w:val="en-US" w:eastAsia="ja-JP"/>
              </w:rPr>
            </w:pPr>
            <w:r w:rsidRPr="00B17B27">
              <w:rPr>
                <w:b/>
                <w:bCs/>
                <w:sz w:val="24"/>
                <w:szCs w:val="24"/>
                <w:lang w:val="en-US" w:eastAsia="ja-JP"/>
              </w:rPr>
              <w:t> </w:t>
            </w:r>
          </w:p>
        </w:tc>
        <w:tc>
          <w:tcPr>
            <w:tcW w:w="763" w:type="pct"/>
            <w:shd w:val="clear" w:color="auto" w:fill="auto"/>
            <w:vAlign w:val="center"/>
          </w:tcPr>
          <w:p w14:paraId="0486E3C4" w14:textId="59BFBEEE" w:rsidR="00E30842" w:rsidRPr="00B17B27" w:rsidRDefault="00E30842" w:rsidP="00B17B27">
            <w:pPr>
              <w:jc w:val="center"/>
              <w:rPr>
                <w:b/>
                <w:bCs/>
                <w:sz w:val="24"/>
                <w:szCs w:val="24"/>
                <w:lang w:val="en-US" w:eastAsia="ja-JP"/>
              </w:rPr>
            </w:pPr>
          </w:p>
        </w:tc>
        <w:tc>
          <w:tcPr>
            <w:tcW w:w="534" w:type="pct"/>
            <w:shd w:val="clear" w:color="auto" w:fill="auto"/>
            <w:vAlign w:val="center"/>
          </w:tcPr>
          <w:p w14:paraId="45DC90CC" w14:textId="338655DE" w:rsidR="00E30842" w:rsidRPr="00B17B27" w:rsidRDefault="00D814E5" w:rsidP="00B17B27">
            <w:pPr>
              <w:jc w:val="center"/>
              <w:rPr>
                <w:b/>
                <w:bCs/>
                <w:sz w:val="24"/>
                <w:szCs w:val="24"/>
                <w:lang w:val="en-US" w:eastAsia="ja-JP"/>
              </w:rPr>
            </w:pPr>
            <w:r>
              <w:rPr>
                <w:b/>
                <w:bCs/>
                <w:sz w:val="24"/>
                <w:szCs w:val="24"/>
                <w:lang w:val="en-US" w:eastAsia="ja-JP"/>
              </w:rPr>
              <w:t>1</w:t>
            </w:r>
            <w:r w:rsidR="00DE6E90">
              <w:rPr>
                <w:b/>
                <w:bCs/>
                <w:sz w:val="24"/>
                <w:szCs w:val="24"/>
                <w:lang w:val="en-US" w:eastAsia="ja-JP"/>
              </w:rPr>
              <w:t>00</w:t>
            </w:r>
          </w:p>
        </w:tc>
        <w:tc>
          <w:tcPr>
            <w:tcW w:w="916" w:type="pct"/>
            <w:shd w:val="clear" w:color="auto" w:fill="auto"/>
            <w:vAlign w:val="center"/>
          </w:tcPr>
          <w:p w14:paraId="39ABBD99" w14:textId="359E3442" w:rsidR="00E30842" w:rsidRPr="00B17B27" w:rsidRDefault="0032163E" w:rsidP="00B17B27">
            <w:pPr>
              <w:jc w:val="center"/>
              <w:rPr>
                <w:b/>
                <w:bCs/>
                <w:sz w:val="24"/>
                <w:szCs w:val="24"/>
                <w:lang w:val="en-US" w:eastAsia="ja-JP"/>
              </w:rPr>
            </w:pPr>
            <w:r>
              <w:rPr>
                <w:b/>
                <w:bCs/>
                <w:sz w:val="24"/>
                <w:szCs w:val="24"/>
                <w:lang w:val="en-US" w:eastAsia="ja-JP"/>
              </w:rPr>
              <w:t>1.180</w:t>
            </w:r>
            <w:r w:rsidR="00DE6E90">
              <w:rPr>
                <w:b/>
                <w:bCs/>
                <w:sz w:val="24"/>
                <w:szCs w:val="24"/>
                <w:lang w:val="en-US" w:eastAsia="ja-JP"/>
              </w:rPr>
              <w:t>.000.000</w:t>
            </w:r>
          </w:p>
        </w:tc>
        <w:tc>
          <w:tcPr>
            <w:tcW w:w="973" w:type="pct"/>
            <w:shd w:val="clear" w:color="auto" w:fill="auto"/>
            <w:vAlign w:val="center"/>
            <w:hideMark/>
          </w:tcPr>
          <w:p w14:paraId="0C95681C" w14:textId="7458CEC7" w:rsidR="00E30842" w:rsidRPr="00B17B27" w:rsidRDefault="00E30842" w:rsidP="006B384F">
            <w:pPr>
              <w:rPr>
                <w:b/>
                <w:bCs/>
                <w:sz w:val="24"/>
                <w:szCs w:val="24"/>
                <w:lang w:val="en-US" w:eastAsia="ja-JP"/>
              </w:rPr>
            </w:pPr>
          </w:p>
        </w:tc>
      </w:tr>
      <w:tr w:rsidR="00DE6E90" w:rsidRPr="00DE6E90" w14:paraId="22997637" w14:textId="77777777" w:rsidTr="007334D3">
        <w:trPr>
          <w:trHeight w:val="375"/>
        </w:trPr>
        <w:tc>
          <w:tcPr>
            <w:tcW w:w="363" w:type="pct"/>
            <w:shd w:val="clear" w:color="auto" w:fill="auto"/>
            <w:vAlign w:val="center"/>
          </w:tcPr>
          <w:p w14:paraId="0985000C" w14:textId="747E3637" w:rsidR="00DE6E90" w:rsidRPr="00DE6E90" w:rsidRDefault="00DE6E90" w:rsidP="00B17B27">
            <w:pPr>
              <w:jc w:val="center"/>
              <w:rPr>
                <w:sz w:val="24"/>
                <w:szCs w:val="24"/>
                <w:lang w:val="en-US" w:eastAsia="ja-JP"/>
              </w:rPr>
            </w:pPr>
            <w:r w:rsidRPr="00DE6E90">
              <w:rPr>
                <w:sz w:val="24"/>
                <w:szCs w:val="24"/>
                <w:lang w:val="en-US" w:eastAsia="ja-JP"/>
              </w:rPr>
              <w:t>1</w:t>
            </w:r>
          </w:p>
        </w:tc>
        <w:tc>
          <w:tcPr>
            <w:tcW w:w="993" w:type="pct"/>
            <w:shd w:val="clear" w:color="auto" w:fill="auto"/>
            <w:noWrap/>
            <w:vAlign w:val="center"/>
          </w:tcPr>
          <w:p w14:paraId="4E5F8887" w14:textId="612BE7B8" w:rsidR="00DE6E90" w:rsidRPr="00DE6E90" w:rsidRDefault="00DE6E90" w:rsidP="00B17B27">
            <w:pPr>
              <w:rPr>
                <w:sz w:val="24"/>
                <w:szCs w:val="24"/>
                <w:lang w:val="en-US" w:eastAsia="ja-JP"/>
              </w:rPr>
            </w:pPr>
            <w:r>
              <w:rPr>
                <w:sz w:val="24"/>
                <w:szCs w:val="24"/>
                <w:lang w:val="en-US" w:eastAsia="ja-JP"/>
              </w:rPr>
              <w:t>Đối tượng 01</w:t>
            </w:r>
          </w:p>
        </w:tc>
        <w:tc>
          <w:tcPr>
            <w:tcW w:w="458" w:type="pct"/>
            <w:shd w:val="clear" w:color="auto" w:fill="auto"/>
            <w:vAlign w:val="center"/>
          </w:tcPr>
          <w:p w14:paraId="4205776A" w14:textId="77777777" w:rsidR="00DE6E90" w:rsidRPr="00DE6E90" w:rsidRDefault="00DE6E90" w:rsidP="00B17B27">
            <w:pPr>
              <w:jc w:val="center"/>
              <w:rPr>
                <w:sz w:val="24"/>
                <w:szCs w:val="24"/>
                <w:lang w:val="en-US" w:eastAsia="ja-JP"/>
              </w:rPr>
            </w:pPr>
          </w:p>
        </w:tc>
        <w:tc>
          <w:tcPr>
            <w:tcW w:w="763" w:type="pct"/>
            <w:shd w:val="clear" w:color="auto" w:fill="auto"/>
            <w:vAlign w:val="center"/>
          </w:tcPr>
          <w:p w14:paraId="66C2E536" w14:textId="0B4443D2" w:rsidR="00DE6E90" w:rsidRPr="00DE6E90" w:rsidRDefault="00DE6E90" w:rsidP="00B17B27">
            <w:pPr>
              <w:jc w:val="center"/>
              <w:rPr>
                <w:sz w:val="24"/>
                <w:szCs w:val="24"/>
                <w:lang w:val="en-US" w:eastAsia="ja-JP"/>
              </w:rPr>
            </w:pPr>
            <w:r>
              <w:rPr>
                <w:sz w:val="24"/>
                <w:szCs w:val="24"/>
                <w:lang w:val="en-US" w:eastAsia="ja-JP"/>
              </w:rPr>
              <w:t>16.000.000</w:t>
            </w:r>
          </w:p>
        </w:tc>
        <w:tc>
          <w:tcPr>
            <w:tcW w:w="534" w:type="pct"/>
            <w:shd w:val="clear" w:color="auto" w:fill="auto"/>
            <w:vAlign w:val="center"/>
          </w:tcPr>
          <w:p w14:paraId="5DE0424D" w14:textId="5BD0FB25" w:rsidR="00DE6E90" w:rsidRPr="00DE6E90" w:rsidRDefault="00D814E5" w:rsidP="00B17B27">
            <w:pPr>
              <w:jc w:val="center"/>
              <w:rPr>
                <w:sz w:val="24"/>
                <w:szCs w:val="24"/>
                <w:lang w:val="en-US" w:eastAsia="ja-JP"/>
              </w:rPr>
            </w:pPr>
            <w:r>
              <w:rPr>
                <w:sz w:val="24"/>
                <w:szCs w:val="24"/>
                <w:lang w:val="en-US" w:eastAsia="ja-JP"/>
              </w:rPr>
              <w:t>4</w:t>
            </w:r>
            <w:r w:rsidR="00DE6E90">
              <w:rPr>
                <w:sz w:val="24"/>
                <w:szCs w:val="24"/>
                <w:lang w:val="en-US" w:eastAsia="ja-JP"/>
              </w:rPr>
              <w:t>0</w:t>
            </w:r>
          </w:p>
        </w:tc>
        <w:tc>
          <w:tcPr>
            <w:tcW w:w="916" w:type="pct"/>
            <w:shd w:val="clear" w:color="auto" w:fill="auto"/>
            <w:vAlign w:val="center"/>
          </w:tcPr>
          <w:p w14:paraId="7F5C5D35" w14:textId="7C3EF113" w:rsidR="00DE6E90" w:rsidRPr="00DE6E90" w:rsidRDefault="0032163E" w:rsidP="00B17B27">
            <w:pPr>
              <w:jc w:val="center"/>
              <w:rPr>
                <w:sz w:val="24"/>
                <w:szCs w:val="24"/>
                <w:lang w:val="en-US" w:eastAsia="ja-JP"/>
              </w:rPr>
            </w:pPr>
            <w:r>
              <w:rPr>
                <w:sz w:val="24"/>
                <w:szCs w:val="24"/>
                <w:lang w:val="en-US" w:eastAsia="ja-JP"/>
              </w:rPr>
              <w:t>640</w:t>
            </w:r>
            <w:r w:rsidR="00DE6E90">
              <w:rPr>
                <w:sz w:val="24"/>
                <w:szCs w:val="24"/>
                <w:lang w:val="en-US" w:eastAsia="ja-JP"/>
              </w:rPr>
              <w:t>.000.000</w:t>
            </w:r>
          </w:p>
        </w:tc>
        <w:tc>
          <w:tcPr>
            <w:tcW w:w="973" w:type="pct"/>
            <w:shd w:val="clear" w:color="auto" w:fill="auto"/>
            <w:vAlign w:val="center"/>
          </w:tcPr>
          <w:p w14:paraId="1570C746" w14:textId="77777777" w:rsidR="00DE6E90" w:rsidRPr="00DE6E90" w:rsidRDefault="00DE6E90" w:rsidP="006B384F">
            <w:pPr>
              <w:rPr>
                <w:sz w:val="24"/>
                <w:szCs w:val="24"/>
                <w:lang w:val="en-US" w:eastAsia="ja-JP"/>
              </w:rPr>
            </w:pPr>
          </w:p>
        </w:tc>
      </w:tr>
      <w:tr w:rsidR="00DE6E90" w:rsidRPr="00DE6E90" w14:paraId="1BC69386" w14:textId="77777777" w:rsidTr="007334D3">
        <w:trPr>
          <w:trHeight w:val="375"/>
        </w:trPr>
        <w:tc>
          <w:tcPr>
            <w:tcW w:w="363" w:type="pct"/>
            <w:shd w:val="clear" w:color="auto" w:fill="auto"/>
            <w:vAlign w:val="center"/>
          </w:tcPr>
          <w:p w14:paraId="3CA67614" w14:textId="2C164C74" w:rsidR="00DE6E90" w:rsidRPr="00DE6E90" w:rsidRDefault="00DE6E90" w:rsidP="00B17B27">
            <w:pPr>
              <w:jc w:val="center"/>
              <w:rPr>
                <w:sz w:val="24"/>
                <w:szCs w:val="24"/>
                <w:lang w:val="en-US" w:eastAsia="ja-JP"/>
              </w:rPr>
            </w:pPr>
            <w:r>
              <w:rPr>
                <w:sz w:val="24"/>
                <w:szCs w:val="24"/>
                <w:lang w:val="en-US" w:eastAsia="ja-JP"/>
              </w:rPr>
              <w:t>2</w:t>
            </w:r>
          </w:p>
        </w:tc>
        <w:tc>
          <w:tcPr>
            <w:tcW w:w="993" w:type="pct"/>
            <w:shd w:val="clear" w:color="auto" w:fill="auto"/>
            <w:noWrap/>
            <w:vAlign w:val="center"/>
          </w:tcPr>
          <w:p w14:paraId="590CA485" w14:textId="1C5994DE" w:rsidR="00DE6E90" w:rsidRDefault="00DE6E90" w:rsidP="00B17B27">
            <w:pPr>
              <w:rPr>
                <w:sz w:val="24"/>
                <w:szCs w:val="24"/>
                <w:lang w:val="en-US" w:eastAsia="ja-JP"/>
              </w:rPr>
            </w:pPr>
            <w:r>
              <w:rPr>
                <w:sz w:val="24"/>
                <w:szCs w:val="24"/>
                <w:lang w:val="en-US" w:eastAsia="ja-JP"/>
              </w:rPr>
              <w:t>Đối tượng 02</w:t>
            </w:r>
          </w:p>
        </w:tc>
        <w:tc>
          <w:tcPr>
            <w:tcW w:w="458" w:type="pct"/>
            <w:shd w:val="clear" w:color="auto" w:fill="auto"/>
            <w:vAlign w:val="center"/>
          </w:tcPr>
          <w:p w14:paraId="5510788D" w14:textId="77777777" w:rsidR="00DE6E90" w:rsidRPr="00DE6E90" w:rsidRDefault="00DE6E90" w:rsidP="00B17B27">
            <w:pPr>
              <w:jc w:val="center"/>
              <w:rPr>
                <w:sz w:val="24"/>
                <w:szCs w:val="24"/>
                <w:lang w:val="en-US" w:eastAsia="ja-JP"/>
              </w:rPr>
            </w:pPr>
          </w:p>
        </w:tc>
        <w:tc>
          <w:tcPr>
            <w:tcW w:w="763" w:type="pct"/>
            <w:shd w:val="clear" w:color="auto" w:fill="auto"/>
            <w:vAlign w:val="center"/>
          </w:tcPr>
          <w:p w14:paraId="73EDAB30" w14:textId="2C572684" w:rsidR="00DE6E90" w:rsidRDefault="00DE6E90" w:rsidP="00B17B27">
            <w:pPr>
              <w:jc w:val="center"/>
              <w:rPr>
                <w:sz w:val="24"/>
                <w:szCs w:val="24"/>
                <w:lang w:val="en-US" w:eastAsia="ja-JP"/>
              </w:rPr>
            </w:pPr>
            <w:r>
              <w:rPr>
                <w:sz w:val="24"/>
                <w:szCs w:val="24"/>
                <w:lang w:val="en-US" w:eastAsia="ja-JP"/>
              </w:rPr>
              <w:t>9.000.000</w:t>
            </w:r>
          </w:p>
        </w:tc>
        <w:tc>
          <w:tcPr>
            <w:tcW w:w="534" w:type="pct"/>
            <w:shd w:val="clear" w:color="auto" w:fill="auto"/>
            <w:vAlign w:val="center"/>
          </w:tcPr>
          <w:p w14:paraId="7FCD34D6" w14:textId="55868D85" w:rsidR="00DE6E90" w:rsidRDefault="00D814E5" w:rsidP="00B17B27">
            <w:pPr>
              <w:jc w:val="center"/>
              <w:rPr>
                <w:sz w:val="24"/>
                <w:szCs w:val="24"/>
                <w:lang w:val="en-US" w:eastAsia="ja-JP"/>
              </w:rPr>
            </w:pPr>
            <w:r>
              <w:rPr>
                <w:sz w:val="24"/>
                <w:szCs w:val="24"/>
                <w:lang w:val="en-US" w:eastAsia="ja-JP"/>
              </w:rPr>
              <w:t>6</w:t>
            </w:r>
            <w:r w:rsidR="00DE6E90">
              <w:rPr>
                <w:sz w:val="24"/>
                <w:szCs w:val="24"/>
                <w:lang w:val="en-US" w:eastAsia="ja-JP"/>
              </w:rPr>
              <w:t>0</w:t>
            </w:r>
          </w:p>
        </w:tc>
        <w:tc>
          <w:tcPr>
            <w:tcW w:w="916" w:type="pct"/>
            <w:shd w:val="clear" w:color="auto" w:fill="auto"/>
            <w:vAlign w:val="center"/>
          </w:tcPr>
          <w:p w14:paraId="7E71053A" w14:textId="2C075400" w:rsidR="00DE6E90" w:rsidRDefault="0032163E" w:rsidP="00B17B27">
            <w:pPr>
              <w:jc w:val="center"/>
              <w:rPr>
                <w:sz w:val="24"/>
                <w:szCs w:val="24"/>
                <w:lang w:val="en-US" w:eastAsia="ja-JP"/>
              </w:rPr>
            </w:pPr>
            <w:r>
              <w:rPr>
                <w:sz w:val="24"/>
                <w:szCs w:val="24"/>
                <w:lang w:val="en-US" w:eastAsia="ja-JP"/>
              </w:rPr>
              <w:t>540</w:t>
            </w:r>
            <w:r w:rsidR="00DE6E90">
              <w:rPr>
                <w:sz w:val="24"/>
                <w:szCs w:val="24"/>
                <w:lang w:val="en-US" w:eastAsia="ja-JP"/>
              </w:rPr>
              <w:t>.000.000</w:t>
            </w:r>
          </w:p>
        </w:tc>
        <w:tc>
          <w:tcPr>
            <w:tcW w:w="973" w:type="pct"/>
            <w:shd w:val="clear" w:color="auto" w:fill="auto"/>
            <w:vAlign w:val="center"/>
          </w:tcPr>
          <w:p w14:paraId="50E27C47" w14:textId="77777777" w:rsidR="00DE6E90" w:rsidRPr="00DE6E90" w:rsidRDefault="00DE6E90" w:rsidP="006B384F">
            <w:pPr>
              <w:rPr>
                <w:sz w:val="24"/>
                <w:szCs w:val="24"/>
                <w:lang w:val="en-US" w:eastAsia="ja-JP"/>
              </w:rPr>
            </w:pPr>
          </w:p>
        </w:tc>
      </w:tr>
      <w:tr w:rsidR="007334D3" w:rsidRPr="00E30842" w14:paraId="4E34DE90" w14:textId="77777777" w:rsidTr="007334D3">
        <w:trPr>
          <w:trHeight w:val="375"/>
        </w:trPr>
        <w:tc>
          <w:tcPr>
            <w:tcW w:w="363" w:type="pct"/>
            <w:shd w:val="clear" w:color="auto" w:fill="auto"/>
            <w:vAlign w:val="center"/>
          </w:tcPr>
          <w:p w14:paraId="334007CD" w14:textId="65296BA0" w:rsidR="00335572" w:rsidRPr="00B17B27" w:rsidRDefault="00335572" w:rsidP="00B17B27">
            <w:pPr>
              <w:jc w:val="center"/>
              <w:rPr>
                <w:b/>
                <w:bCs/>
                <w:sz w:val="24"/>
                <w:szCs w:val="24"/>
                <w:lang w:val="en-US" w:eastAsia="ja-JP"/>
              </w:rPr>
            </w:pPr>
            <w:r>
              <w:rPr>
                <w:b/>
                <w:bCs/>
                <w:sz w:val="24"/>
                <w:szCs w:val="24"/>
                <w:lang w:val="en-US" w:eastAsia="ja-JP"/>
              </w:rPr>
              <w:t>II</w:t>
            </w:r>
          </w:p>
        </w:tc>
        <w:tc>
          <w:tcPr>
            <w:tcW w:w="993" w:type="pct"/>
            <w:shd w:val="clear" w:color="auto" w:fill="auto"/>
            <w:noWrap/>
            <w:vAlign w:val="center"/>
          </w:tcPr>
          <w:p w14:paraId="3A78161F" w14:textId="17619204" w:rsidR="00335572" w:rsidRPr="00B17B27" w:rsidRDefault="00335572" w:rsidP="00B17B27">
            <w:pPr>
              <w:rPr>
                <w:b/>
                <w:bCs/>
                <w:sz w:val="24"/>
                <w:szCs w:val="24"/>
                <w:lang w:val="en-US" w:eastAsia="ja-JP"/>
              </w:rPr>
            </w:pPr>
            <w:r>
              <w:rPr>
                <w:b/>
                <w:bCs/>
                <w:sz w:val="24"/>
                <w:szCs w:val="24"/>
                <w:lang w:val="en-US" w:eastAsia="ja-JP"/>
              </w:rPr>
              <w:t>NỘP NSNN</w:t>
            </w:r>
          </w:p>
        </w:tc>
        <w:tc>
          <w:tcPr>
            <w:tcW w:w="458" w:type="pct"/>
            <w:shd w:val="clear" w:color="auto" w:fill="auto"/>
            <w:vAlign w:val="center"/>
          </w:tcPr>
          <w:p w14:paraId="2BF56427" w14:textId="77777777" w:rsidR="00335572" w:rsidRPr="00B17B27" w:rsidRDefault="00335572" w:rsidP="00B17B27">
            <w:pPr>
              <w:jc w:val="center"/>
              <w:rPr>
                <w:b/>
                <w:bCs/>
                <w:sz w:val="24"/>
                <w:szCs w:val="24"/>
                <w:lang w:val="en-US" w:eastAsia="ja-JP"/>
              </w:rPr>
            </w:pPr>
          </w:p>
        </w:tc>
        <w:tc>
          <w:tcPr>
            <w:tcW w:w="763" w:type="pct"/>
            <w:shd w:val="clear" w:color="auto" w:fill="auto"/>
            <w:vAlign w:val="center"/>
          </w:tcPr>
          <w:p w14:paraId="000FEB30" w14:textId="77777777" w:rsidR="00335572" w:rsidRPr="00B17B27" w:rsidRDefault="00335572" w:rsidP="00B17B27">
            <w:pPr>
              <w:jc w:val="center"/>
              <w:rPr>
                <w:b/>
                <w:bCs/>
                <w:sz w:val="24"/>
                <w:szCs w:val="24"/>
                <w:lang w:val="en-US" w:eastAsia="ja-JP"/>
              </w:rPr>
            </w:pPr>
          </w:p>
        </w:tc>
        <w:tc>
          <w:tcPr>
            <w:tcW w:w="534" w:type="pct"/>
            <w:shd w:val="clear" w:color="auto" w:fill="auto"/>
            <w:vAlign w:val="center"/>
          </w:tcPr>
          <w:p w14:paraId="7DBE3AB2" w14:textId="77777777" w:rsidR="00335572" w:rsidRDefault="00335572" w:rsidP="00B17B27">
            <w:pPr>
              <w:jc w:val="center"/>
              <w:rPr>
                <w:b/>
                <w:bCs/>
                <w:sz w:val="24"/>
                <w:szCs w:val="24"/>
                <w:lang w:val="en-US" w:eastAsia="ja-JP"/>
              </w:rPr>
            </w:pPr>
          </w:p>
        </w:tc>
        <w:tc>
          <w:tcPr>
            <w:tcW w:w="916" w:type="pct"/>
            <w:shd w:val="clear" w:color="auto" w:fill="auto"/>
            <w:vAlign w:val="center"/>
          </w:tcPr>
          <w:p w14:paraId="05DEA998" w14:textId="67AEC41C" w:rsidR="00335572" w:rsidRDefault="0032163E" w:rsidP="00B17B27">
            <w:pPr>
              <w:jc w:val="center"/>
              <w:rPr>
                <w:b/>
                <w:bCs/>
                <w:sz w:val="24"/>
                <w:szCs w:val="24"/>
                <w:lang w:val="en-US" w:eastAsia="ja-JP"/>
              </w:rPr>
            </w:pPr>
            <w:r>
              <w:rPr>
                <w:b/>
                <w:bCs/>
                <w:sz w:val="24"/>
                <w:szCs w:val="24"/>
                <w:lang w:val="en-US" w:eastAsia="ja-JP"/>
              </w:rPr>
              <w:t>117</w:t>
            </w:r>
            <w:r w:rsidR="00335572">
              <w:rPr>
                <w:b/>
                <w:bCs/>
                <w:sz w:val="24"/>
                <w:szCs w:val="24"/>
                <w:lang w:val="en-US" w:eastAsia="ja-JP"/>
              </w:rPr>
              <w:t>.000.000</w:t>
            </w:r>
          </w:p>
        </w:tc>
        <w:tc>
          <w:tcPr>
            <w:tcW w:w="973" w:type="pct"/>
            <w:shd w:val="clear" w:color="auto" w:fill="auto"/>
            <w:vAlign w:val="center"/>
          </w:tcPr>
          <w:p w14:paraId="4A1CCEC3" w14:textId="77777777" w:rsidR="00335572" w:rsidRDefault="00335572" w:rsidP="006B384F">
            <w:pPr>
              <w:rPr>
                <w:sz w:val="24"/>
                <w:szCs w:val="24"/>
                <w:lang w:val="en-US" w:eastAsia="ja-JP"/>
              </w:rPr>
            </w:pPr>
          </w:p>
        </w:tc>
      </w:tr>
      <w:tr w:rsidR="007334D3" w:rsidRPr="00E30842" w14:paraId="332F9096" w14:textId="77777777" w:rsidTr="007334D3">
        <w:trPr>
          <w:trHeight w:val="375"/>
        </w:trPr>
        <w:tc>
          <w:tcPr>
            <w:tcW w:w="363" w:type="pct"/>
            <w:shd w:val="clear" w:color="auto" w:fill="auto"/>
            <w:vAlign w:val="center"/>
            <w:hideMark/>
          </w:tcPr>
          <w:p w14:paraId="3735A3CF" w14:textId="5D4B1E57" w:rsidR="00A4213E" w:rsidRPr="00B17B27" w:rsidRDefault="00A4213E" w:rsidP="00B17B27">
            <w:pPr>
              <w:jc w:val="center"/>
              <w:rPr>
                <w:b/>
                <w:bCs/>
                <w:sz w:val="24"/>
                <w:szCs w:val="24"/>
                <w:lang w:val="en-US" w:eastAsia="ja-JP"/>
              </w:rPr>
            </w:pPr>
            <w:r w:rsidRPr="00B17B27">
              <w:rPr>
                <w:b/>
                <w:bCs/>
                <w:sz w:val="24"/>
                <w:szCs w:val="24"/>
                <w:lang w:val="en-US" w:eastAsia="ja-JP"/>
              </w:rPr>
              <w:t>II</w:t>
            </w:r>
            <w:r w:rsidR="00335572">
              <w:rPr>
                <w:b/>
                <w:bCs/>
                <w:sz w:val="24"/>
                <w:szCs w:val="24"/>
                <w:lang w:val="en-US" w:eastAsia="ja-JP"/>
              </w:rPr>
              <w:t>I</w:t>
            </w:r>
          </w:p>
        </w:tc>
        <w:tc>
          <w:tcPr>
            <w:tcW w:w="993" w:type="pct"/>
            <w:shd w:val="clear" w:color="auto" w:fill="auto"/>
            <w:noWrap/>
            <w:vAlign w:val="center"/>
            <w:hideMark/>
          </w:tcPr>
          <w:p w14:paraId="1FDA0734" w14:textId="77777777" w:rsidR="00A4213E" w:rsidRPr="00B17B27" w:rsidRDefault="00A4213E" w:rsidP="00B17B27">
            <w:pPr>
              <w:rPr>
                <w:b/>
                <w:bCs/>
                <w:sz w:val="24"/>
                <w:szCs w:val="24"/>
                <w:lang w:val="en-US" w:eastAsia="ja-JP"/>
              </w:rPr>
            </w:pPr>
            <w:r w:rsidRPr="00B17B27">
              <w:rPr>
                <w:b/>
                <w:bCs/>
                <w:sz w:val="24"/>
                <w:szCs w:val="24"/>
                <w:lang w:val="en-US" w:eastAsia="ja-JP"/>
              </w:rPr>
              <w:t xml:space="preserve">TỔNG CHI </w:t>
            </w:r>
          </w:p>
        </w:tc>
        <w:tc>
          <w:tcPr>
            <w:tcW w:w="458" w:type="pct"/>
            <w:shd w:val="clear" w:color="auto" w:fill="auto"/>
            <w:vAlign w:val="center"/>
            <w:hideMark/>
          </w:tcPr>
          <w:p w14:paraId="0A5328EA" w14:textId="77777777" w:rsidR="00A4213E" w:rsidRPr="00B17B27" w:rsidRDefault="00A4213E" w:rsidP="00B17B27">
            <w:pPr>
              <w:jc w:val="center"/>
              <w:rPr>
                <w:b/>
                <w:bCs/>
                <w:sz w:val="24"/>
                <w:szCs w:val="24"/>
                <w:lang w:val="en-US" w:eastAsia="ja-JP"/>
              </w:rPr>
            </w:pPr>
            <w:r w:rsidRPr="00B17B27">
              <w:rPr>
                <w:b/>
                <w:bCs/>
                <w:sz w:val="24"/>
                <w:szCs w:val="24"/>
                <w:lang w:val="en-US" w:eastAsia="ja-JP"/>
              </w:rPr>
              <w:t> </w:t>
            </w:r>
          </w:p>
        </w:tc>
        <w:tc>
          <w:tcPr>
            <w:tcW w:w="763" w:type="pct"/>
            <w:shd w:val="clear" w:color="auto" w:fill="auto"/>
            <w:vAlign w:val="center"/>
          </w:tcPr>
          <w:p w14:paraId="33555660" w14:textId="062B87A3" w:rsidR="00A4213E" w:rsidRPr="00B17B27" w:rsidRDefault="00A4213E" w:rsidP="005A32A6">
            <w:pPr>
              <w:jc w:val="center"/>
              <w:rPr>
                <w:b/>
                <w:bCs/>
                <w:sz w:val="24"/>
                <w:szCs w:val="24"/>
                <w:lang w:val="en-US" w:eastAsia="ja-JP"/>
              </w:rPr>
            </w:pPr>
          </w:p>
        </w:tc>
        <w:tc>
          <w:tcPr>
            <w:tcW w:w="534" w:type="pct"/>
            <w:shd w:val="clear" w:color="auto" w:fill="auto"/>
            <w:vAlign w:val="center"/>
          </w:tcPr>
          <w:p w14:paraId="6BDF71A5" w14:textId="44F856EC" w:rsidR="00A4213E" w:rsidRPr="00B17B27" w:rsidRDefault="00A4213E" w:rsidP="005A32A6">
            <w:pPr>
              <w:jc w:val="center"/>
              <w:rPr>
                <w:b/>
                <w:bCs/>
                <w:sz w:val="24"/>
                <w:szCs w:val="24"/>
                <w:lang w:val="en-US" w:eastAsia="ja-JP"/>
              </w:rPr>
            </w:pPr>
          </w:p>
        </w:tc>
        <w:tc>
          <w:tcPr>
            <w:tcW w:w="916" w:type="pct"/>
            <w:shd w:val="clear" w:color="auto" w:fill="auto"/>
            <w:vAlign w:val="center"/>
            <w:hideMark/>
          </w:tcPr>
          <w:p w14:paraId="7617BFCC" w14:textId="04E70013" w:rsidR="00A4213E" w:rsidRPr="007E5BE9" w:rsidRDefault="0032163E" w:rsidP="00B17B27">
            <w:pPr>
              <w:jc w:val="center"/>
              <w:rPr>
                <w:b/>
                <w:bCs/>
                <w:sz w:val="24"/>
                <w:szCs w:val="24"/>
                <w:lang w:val="en-US" w:eastAsia="ja-JP"/>
              </w:rPr>
            </w:pPr>
            <w:r>
              <w:rPr>
                <w:b/>
                <w:bCs/>
                <w:sz w:val="24"/>
                <w:szCs w:val="24"/>
                <w:lang w:val="en-US" w:eastAsia="ja-JP"/>
              </w:rPr>
              <w:t>1.063</w:t>
            </w:r>
            <w:r w:rsidR="00A4213E" w:rsidRPr="007E5BE9">
              <w:rPr>
                <w:b/>
                <w:bCs/>
                <w:sz w:val="24"/>
                <w:szCs w:val="24"/>
                <w:lang w:val="en-US" w:eastAsia="ja-JP"/>
              </w:rPr>
              <w:t>.000.000</w:t>
            </w:r>
          </w:p>
        </w:tc>
        <w:tc>
          <w:tcPr>
            <w:tcW w:w="973" w:type="pct"/>
            <w:shd w:val="clear" w:color="auto" w:fill="auto"/>
            <w:vAlign w:val="center"/>
            <w:hideMark/>
          </w:tcPr>
          <w:p w14:paraId="0825F4DE" w14:textId="77777777" w:rsidR="00A4213E" w:rsidRPr="00B17B27" w:rsidRDefault="00A4213E" w:rsidP="00B17B27">
            <w:pPr>
              <w:jc w:val="center"/>
              <w:rPr>
                <w:b/>
                <w:bCs/>
                <w:sz w:val="24"/>
                <w:szCs w:val="24"/>
                <w:lang w:val="en-US" w:eastAsia="ja-JP"/>
              </w:rPr>
            </w:pPr>
            <w:r w:rsidRPr="00B17B27">
              <w:rPr>
                <w:b/>
                <w:bCs/>
                <w:sz w:val="24"/>
                <w:szCs w:val="24"/>
                <w:lang w:val="en-US" w:eastAsia="ja-JP"/>
              </w:rPr>
              <w:t> </w:t>
            </w:r>
          </w:p>
        </w:tc>
      </w:tr>
      <w:tr w:rsidR="00D22C4A" w:rsidRPr="00E30842" w14:paraId="5F568A4E" w14:textId="77777777" w:rsidTr="007334D3">
        <w:trPr>
          <w:trHeight w:val="375"/>
        </w:trPr>
        <w:tc>
          <w:tcPr>
            <w:tcW w:w="363" w:type="pct"/>
            <w:shd w:val="clear" w:color="auto" w:fill="auto"/>
            <w:vAlign w:val="center"/>
          </w:tcPr>
          <w:p w14:paraId="15EFFD2D" w14:textId="30EE7EEF" w:rsidR="00D22C4A" w:rsidRPr="00B17B27" w:rsidRDefault="00D22C4A" w:rsidP="00B17B27">
            <w:pPr>
              <w:jc w:val="center"/>
              <w:rPr>
                <w:b/>
                <w:bCs/>
                <w:sz w:val="24"/>
                <w:szCs w:val="24"/>
                <w:lang w:val="en-US" w:eastAsia="ja-JP"/>
              </w:rPr>
            </w:pPr>
            <w:r>
              <w:rPr>
                <w:b/>
                <w:bCs/>
                <w:sz w:val="24"/>
                <w:szCs w:val="24"/>
                <w:lang w:val="en-US" w:eastAsia="ja-JP"/>
              </w:rPr>
              <w:t>1</w:t>
            </w:r>
          </w:p>
        </w:tc>
        <w:tc>
          <w:tcPr>
            <w:tcW w:w="993" w:type="pct"/>
            <w:shd w:val="clear" w:color="auto" w:fill="auto"/>
            <w:noWrap/>
            <w:vAlign w:val="center"/>
          </w:tcPr>
          <w:p w14:paraId="32D06431" w14:textId="1D76B3DE" w:rsidR="00D22C4A" w:rsidRPr="00B17B27" w:rsidRDefault="00D22C4A" w:rsidP="00B17B27">
            <w:pPr>
              <w:rPr>
                <w:b/>
                <w:bCs/>
                <w:sz w:val="24"/>
                <w:szCs w:val="24"/>
                <w:lang w:val="en-US" w:eastAsia="ja-JP"/>
              </w:rPr>
            </w:pPr>
            <w:r>
              <w:rPr>
                <w:b/>
                <w:bCs/>
                <w:sz w:val="24"/>
                <w:szCs w:val="24"/>
                <w:lang w:val="en-US" w:eastAsia="ja-JP"/>
              </w:rPr>
              <w:t>Kiểm tra thực tế tại cơ sở</w:t>
            </w:r>
          </w:p>
        </w:tc>
        <w:tc>
          <w:tcPr>
            <w:tcW w:w="458" w:type="pct"/>
            <w:shd w:val="clear" w:color="auto" w:fill="auto"/>
            <w:vAlign w:val="center"/>
          </w:tcPr>
          <w:p w14:paraId="7FA07228" w14:textId="77777777" w:rsidR="00D22C4A" w:rsidRPr="00B17B27" w:rsidRDefault="00D22C4A" w:rsidP="00B17B27">
            <w:pPr>
              <w:jc w:val="center"/>
              <w:rPr>
                <w:b/>
                <w:bCs/>
                <w:sz w:val="24"/>
                <w:szCs w:val="24"/>
                <w:lang w:val="en-US" w:eastAsia="ja-JP"/>
              </w:rPr>
            </w:pPr>
          </w:p>
        </w:tc>
        <w:tc>
          <w:tcPr>
            <w:tcW w:w="763" w:type="pct"/>
            <w:shd w:val="clear" w:color="auto" w:fill="auto"/>
            <w:vAlign w:val="center"/>
          </w:tcPr>
          <w:p w14:paraId="494857E0" w14:textId="77777777" w:rsidR="00D22C4A" w:rsidRPr="00B17B27" w:rsidRDefault="00D22C4A" w:rsidP="005A32A6">
            <w:pPr>
              <w:jc w:val="center"/>
              <w:rPr>
                <w:b/>
                <w:bCs/>
                <w:sz w:val="24"/>
                <w:szCs w:val="24"/>
                <w:lang w:val="en-US" w:eastAsia="ja-JP"/>
              </w:rPr>
            </w:pPr>
          </w:p>
        </w:tc>
        <w:tc>
          <w:tcPr>
            <w:tcW w:w="534" w:type="pct"/>
            <w:shd w:val="clear" w:color="auto" w:fill="auto"/>
            <w:vAlign w:val="center"/>
          </w:tcPr>
          <w:p w14:paraId="77600337" w14:textId="77777777" w:rsidR="00D22C4A" w:rsidRPr="00B17B27" w:rsidRDefault="00D22C4A" w:rsidP="005A32A6">
            <w:pPr>
              <w:jc w:val="center"/>
              <w:rPr>
                <w:b/>
                <w:bCs/>
                <w:sz w:val="24"/>
                <w:szCs w:val="24"/>
                <w:lang w:val="en-US" w:eastAsia="ja-JP"/>
              </w:rPr>
            </w:pPr>
          </w:p>
        </w:tc>
        <w:tc>
          <w:tcPr>
            <w:tcW w:w="916" w:type="pct"/>
            <w:shd w:val="clear" w:color="auto" w:fill="auto"/>
            <w:vAlign w:val="center"/>
          </w:tcPr>
          <w:p w14:paraId="396842D3" w14:textId="77777777" w:rsidR="00D22C4A" w:rsidRDefault="00D22C4A" w:rsidP="00B17B27">
            <w:pPr>
              <w:jc w:val="center"/>
              <w:rPr>
                <w:b/>
                <w:bCs/>
                <w:sz w:val="24"/>
                <w:szCs w:val="24"/>
                <w:lang w:val="en-US" w:eastAsia="ja-JP"/>
              </w:rPr>
            </w:pPr>
          </w:p>
        </w:tc>
        <w:tc>
          <w:tcPr>
            <w:tcW w:w="973" w:type="pct"/>
            <w:shd w:val="clear" w:color="auto" w:fill="auto"/>
            <w:vAlign w:val="center"/>
          </w:tcPr>
          <w:p w14:paraId="6FD87D94" w14:textId="77777777" w:rsidR="00D22C4A" w:rsidRPr="00B17B27" w:rsidRDefault="00D22C4A" w:rsidP="00B17B27">
            <w:pPr>
              <w:jc w:val="center"/>
              <w:rPr>
                <w:b/>
                <w:bCs/>
                <w:sz w:val="24"/>
                <w:szCs w:val="24"/>
                <w:lang w:val="en-US" w:eastAsia="ja-JP"/>
              </w:rPr>
            </w:pPr>
          </w:p>
        </w:tc>
      </w:tr>
      <w:tr w:rsidR="00D22C4A" w:rsidRPr="00E30842" w14:paraId="7D0F6C08" w14:textId="77777777" w:rsidTr="007334D3">
        <w:trPr>
          <w:trHeight w:val="375"/>
        </w:trPr>
        <w:tc>
          <w:tcPr>
            <w:tcW w:w="363" w:type="pct"/>
            <w:shd w:val="clear" w:color="auto" w:fill="auto"/>
            <w:vAlign w:val="center"/>
          </w:tcPr>
          <w:p w14:paraId="77E49C67" w14:textId="6DDF087D" w:rsidR="00D22C4A" w:rsidRPr="00D22C4A" w:rsidRDefault="00D22C4A" w:rsidP="00B17B27">
            <w:pPr>
              <w:jc w:val="center"/>
              <w:rPr>
                <w:sz w:val="24"/>
                <w:szCs w:val="24"/>
                <w:lang w:val="en-US" w:eastAsia="ja-JP"/>
              </w:rPr>
            </w:pPr>
            <w:r>
              <w:rPr>
                <w:sz w:val="24"/>
                <w:szCs w:val="24"/>
                <w:lang w:val="en-US" w:eastAsia="ja-JP"/>
              </w:rPr>
              <w:t>-</w:t>
            </w:r>
          </w:p>
        </w:tc>
        <w:tc>
          <w:tcPr>
            <w:tcW w:w="993" w:type="pct"/>
            <w:shd w:val="clear" w:color="auto" w:fill="auto"/>
            <w:noWrap/>
            <w:vAlign w:val="center"/>
          </w:tcPr>
          <w:p w14:paraId="18511B06" w14:textId="791195C5" w:rsidR="00D22C4A" w:rsidRPr="00D22C4A" w:rsidRDefault="00D22C4A" w:rsidP="00B17B27">
            <w:pPr>
              <w:rPr>
                <w:sz w:val="24"/>
                <w:szCs w:val="24"/>
                <w:lang w:val="en-US" w:eastAsia="ja-JP"/>
              </w:rPr>
            </w:pPr>
            <w:r w:rsidRPr="00D22C4A">
              <w:rPr>
                <w:sz w:val="24"/>
                <w:szCs w:val="24"/>
                <w:lang w:val="en-US" w:eastAsia="ja-JP"/>
              </w:rPr>
              <w:t>Bản nhận xét của thành viên đoàn kiểm tra</w:t>
            </w:r>
          </w:p>
        </w:tc>
        <w:tc>
          <w:tcPr>
            <w:tcW w:w="458" w:type="pct"/>
            <w:shd w:val="clear" w:color="auto" w:fill="auto"/>
            <w:vAlign w:val="center"/>
          </w:tcPr>
          <w:p w14:paraId="7A868114" w14:textId="5A174EA1" w:rsidR="00D22C4A" w:rsidRPr="00D22C4A" w:rsidRDefault="00D22C4A" w:rsidP="00B17B27">
            <w:pPr>
              <w:jc w:val="center"/>
              <w:rPr>
                <w:sz w:val="24"/>
                <w:szCs w:val="24"/>
                <w:lang w:val="en-US" w:eastAsia="ja-JP"/>
              </w:rPr>
            </w:pPr>
            <w:r>
              <w:rPr>
                <w:sz w:val="24"/>
                <w:szCs w:val="24"/>
                <w:lang w:val="en-US" w:eastAsia="ja-JP"/>
              </w:rPr>
              <w:t>9</w:t>
            </w:r>
          </w:p>
        </w:tc>
        <w:tc>
          <w:tcPr>
            <w:tcW w:w="763" w:type="pct"/>
            <w:shd w:val="clear" w:color="auto" w:fill="auto"/>
            <w:vAlign w:val="center"/>
          </w:tcPr>
          <w:p w14:paraId="1512DC8C" w14:textId="5C5B67E8" w:rsidR="00D22C4A" w:rsidRPr="00D22C4A" w:rsidRDefault="00D22C4A" w:rsidP="005A32A6">
            <w:pPr>
              <w:jc w:val="center"/>
              <w:rPr>
                <w:sz w:val="24"/>
                <w:szCs w:val="24"/>
                <w:lang w:val="en-US" w:eastAsia="ja-JP"/>
              </w:rPr>
            </w:pPr>
            <w:r>
              <w:rPr>
                <w:sz w:val="24"/>
                <w:szCs w:val="24"/>
                <w:lang w:val="en-US" w:eastAsia="ja-JP"/>
              </w:rPr>
              <w:t>300.000</w:t>
            </w:r>
          </w:p>
        </w:tc>
        <w:tc>
          <w:tcPr>
            <w:tcW w:w="534" w:type="pct"/>
            <w:shd w:val="clear" w:color="auto" w:fill="auto"/>
            <w:vAlign w:val="center"/>
          </w:tcPr>
          <w:p w14:paraId="0FA39924" w14:textId="7CF06F19" w:rsidR="00D22C4A" w:rsidRPr="00D22C4A" w:rsidRDefault="00521FF2" w:rsidP="005A32A6">
            <w:pPr>
              <w:jc w:val="center"/>
              <w:rPr>
                <w:sz w:val="24"/>
                <w:szCs w:val="24"/>
                <w:lang w:val="en-US" w:eastAsia="ja-JP"/>
              </w:rPr>
            </w:pPr>
            <w:r>
              <w:rPr>
                <w:sz w:val="24"/>
                <w:szCs w:val="24"/>
                <w:lang w:val="en-US" w:eastAsia="ja-JP"/>
              </w:rPr>
              <w:t>40</w:t>
            </w:r>
          </w:p>
        </w:tc>
        <w:tc>
          <w:tcPr>
            <w:tcW w:w="916" w:type="pct"/>
            <w:shd w:val="clear" w:color="auto" w:fill="auto"/>
            <w:vAlign w:val="center"/>
          </w:tcPr>
          <w:p w14:paraId="1236A8FD" w14:textId="3B522799" w:rsidR="00D22C4A" w:rsidRPr="00D22C4A" w:rsidRDefault="00521FF2" w:rsidP="00B17B27">
            <w:pPr>
              <w:jc w:val="center"/>
              <w:rPr>
                <w:sz w:val="24"/>
                <w:szCs w:val="24"/>
                <w:lang w:val="en-US" w:eastAsia="ja-JP"/>
              </w:rPr>
            </w:pPr>
            <w:r>
              <w:rPr>
                <w:sz w:val="24"/>
                <w:szCs w:val="24"/>
                <w:lang w:val="en-US" w:eastAsia="ja-JP"/>
              </w:rPr>
              <w:t>108</w:t>
            </w:r>
            <w:r w:rsidR="003954ED">
              <w:rPr>
                <w:sz w:val="24"/>
                <w:szCs w:val="24"/>
                <w:lang w:val="en-US" w:eastAsia="ja-JP"/>
              </w:rPr>
              <w:t>.0</w:t>
            </w:r>
            <w:r w:rsidR="003954ED" w:rsidRPr="00B17B27">
              <w:rPr>
                <w:sz w:val="24"/>
                <w:szCs w:val="24"/>
                <w:lang w:val="en-US" w:eastAsia="ja-JP"/>
              </w:rPr>
              <w:t>00.000</w:t>
            </w:r>
          </w:p>
        </w:tc>
        <w:tc>
          <w:tcPr>
            <w:tcW w:w="973" w:type="pct"/>
            <w:shd w:val="clear" w:color="auto" w:fill="auto"/>
            <w:vAlign w:val="center"/>
          </w:tcPr>
          <w:p w14:paraId="55FD9A25" w14:textId="77777777" w:rsidR="00D22C4A" w:rsidRPr="00D22C4A" w:rsidRDefault="00D22C4A" w:rsidP="00B17B27">
            <w:pPr>
              <w:jc w:val="center"/>
              <w:rPr>
                <w:sz w:val="24"/>
                <w:szCs w:val="24"/>
                <w:lang w:val="en-US" w:eastAsia="ja-JP"/>
              </w:rPr>
            </w:pPr>
          </w:p>
        </w:tc>
      </w:tr>
      <w:tr w:rsidR="00D22C4A" w:rsidRPr="00E30842" w14:paraId="20CFB56E" w14:textId="77777777" w:rsidTr="007334D3">
        <w:trPr>
          <w:trHeight w:val="375"/>
        </w:trPr>
        <w:tc>
          <w:tcPr>
            <w:tcW w:w="363" w:type="pct"/>
            <w:shd w:val="clear" w:color="auto" w:fill="auto"/>
            <w:vAlign w:val="center"/>
          </w:tcPr>
          <w:p w14:paraId="40A314BD" w14:textId="20559022" w:rsidR="00D22C4A" w:rsidRPr="00D22C4A" w:rsidRDefault="00D22C4A" w:rsidP="00B17B27">
            <w:pPr>
              <w:jc w:val="center"/>
              <w:rPr>
                <w:sz w:val="24"/>
                <w:szCs w:val="24"/>
                <w:lang w:val="en-US" w:eastAsia="ja-JP"/>
              </w:rPr>
            </w:pPr>
            <w:r>
              <w:rPr>
                <w:sz w:val="24"/>
                <w:szCs w:val="24"/>
                <w:lang w:val="en-US" w:eastAsia="ja-JP"/>
              </w:rPr>
              <w:t>-</w:t>
            </w:r>
          </w:p>
        </w:tc>
        <w:tc>
          <w:tcPr>
            <w:tcW w:w="993" w:type="pct"/>
            <w:shd w:val="clear" w:color="auto" w:fill="auto"/>
            <w:noWrap/>
            <w:vAlign w:val="center"/>
          </w:tcPr>
          <w:p w14:paraId="4B5F73B9" w14:textId="61D05EBA" w:rsidR="00D22C4A" w:rsidRPr="00D22C4A" w:rsidRDefault="00D22C4A" w:rsidP="00B17B27">
            <w:pPr>
              <w:rPr>
                <w:sz w:val="24"/>
                <w:szCs w:val="24"/>
                <w:lang w:val="en-US" w:eastAsia="ja-JP"/>
              </w:rPr>
            </w:pPr>
            <w:r w:rsidRPr="00D22C4A">
              <w:rPr>
                <w:sz w:val="24"/>
                <w:szCs w:val="24"/>
                <w:lang w:val="en-US" w:eastAsia="ja-JP"/>
              </w:rPr>
              <w:t>Tham vấn ý kiến của các đại biểu tham dự cùng đoàn kiểm tra (cơ quan, tổ chức, cá nhân có liên quan, chuyên gia độc lập)</w:t>
            </w:r>
          </w:p>
        </w:tc>
        <w:tc>
          <w:tcPr>
            <w:tcW w:w="458" w:type="pct"/>
            <w:shd w:val="clear" w:color="auto" w:fill="auto"/>
            <w:vAlign w:val="center"/>
          </w:tcPr>
          <w:p w14:paraId="27E74A9D" w14:textId="4B305546" w:rsidR="00D22C4A" w:rsidRPr="00D22C4A" w:rsidRDefault="00D22C4A" w:rsidP="00B17B27">
            <w:pPr>
              <w:jc w:val="center"/>
              <w:rPr>
                <w:sz w:val="24"/>
                <w:szCs w:val="24"/>
                <w:lang w:val="en-US" w:eastAsia="ja-JP"/>
              </w:rPr>
            </w:pPr>
            <w:r>
              <w:rPr>
                <w:sz w:val="24"/>
                <w:szCs w:val="24"/>
                <w:lang w:val="en-US" w:eastAsia="ja-JP"/>
              </w:rPr>
              <w:t>5</w:t>
            </w:r>
          </w:p>
        </w:tc>
        <w:tc>
          <w:tcPr>
            <w:tcW w:w="763" w:type="pct"/>
            <w:shd w:val="clear" w:color="auto" w:fill="auto"/>
            <w:vAlign w:val="center"/>
          </w:tcPr>
          <w:p w14:paraId="6F262AAB" w14:textId="31EEE26F" w:rsidR="00D22C4A" w:rsidRPr="00D22C4A" w:rsidRDefault="00D22C4A" w:rsidP="005A32A6">
            <w:pPr>
              <w:jc w:val="center"/>
              <w:rPr>
                <w:sz w:val="24"/>
                <w:szCs w:val="24"/>
                <w:lang w:val="en-US" w:eastAsia="ja-JP"/>
              </w:rPr>
            </w:pPr>
            <w:r>
              <w:rPr>
                <w:sz w:val="24"/>
                <w:szCs w:val="24"/>
                <w:lang w:val="en-US" w:eastAsia="ja-JP"/>
              </w:rPr>
              <w:t>300.000</w:t>
            </w:r>
          </w:p>
        </w:tc>
        <w:tc>
          <w:tcPr>
            <w:tcW w:w="534" w:type="pct"/>
            <w:shd w:val="clear" w:color="auto" w:fill="auto"/>
            <w:vAlign w:val="center"/>
          </w:tcPr>
          <w:p w14:paraId="263FE6D2" w14:textId="4D78B6CE" w:rsidR="00D22C4A" w:rsidRPr="00D22C4A" w:rsidRDefault="00521FF2" w:rsidP="005A32A6">
            <w:pPr>
              <w:jc w:val="center"/>
              <w:rPr>
                <w:sz w:val="24"/>
                <w:szCs w:val="24"/>
                <w:lang w:val="en-US" w:eastAsia="ja-JP"/>
              </w:rPr>
            </w:pPr>
            <w:r>
              <w:rPr>
                <w:sz w:val="24"/>
                <w:szCs w:val="24"/>
                <w:lang w:val="en-US" w:eastAsia="ja-JP"/>
              </w:rPr>
              <w:t>4</w:t>
            </w:r>
            <w:r w:rsidR="00D22C4A">
              <w:rPr>
                <w:sz w:val="24"/>
                <w:szCs w:val="24"/>
                <w:lang w:val="en-US" w:eastAsia="ja-JP"/>
              </w:rPr>
              <w:t>0</w:t>
            </w:r>
          </w:p>
        </w:tc>
        <w:tc>
          <w:tcPr>
            <w:tcW w:w="916" w:type="pct"/>
            <w:shd w:val="clear" w:color="auto" w:fill="auto"/>
            <w:vAlign w:val="center"/>
          </w:tcPr>
          <w:p w14:paraId="7C86D423" w14:textId="2064D2EB" w:rsidR="00D22C4A" w:rsidRPr="00D22C4A" w:rsidRDefault="00521FF2" w:rsidP="00B17B27">
            <w:pPr>
              <w:jc w:val="center"/>
              <w:rPr>
                <w:sz w:val="24"/>
                <w:szCs w:val="24"/>
                <w:lang w:val="en-US" w:eastAsia="ja-JP"/>
              </w:rPr>
            </w:pPr>
            <w:r>
              <w:rPr>
                <w:sz w:val="24"/>
                <w:szCs w:val="24"/>
                <w:lang w:val="en-US" w:eastAsia="ja-JP"/>
              </w:rPr>
              <w:t>60</w:t>
            </w:r>
            <w:r w:rsidR="003954ED">
              <w:rPr>
                <w:sz w:val="24"/>
                <w:szCs w:val="24"/>
                <w:lang w:val="en-US" w:eastAsia="ja-JP"/>
              </w:rPr>
              <w:t>.0</w:t>
            </w:r>
            <w:r w:rsidR="003954ED" w:rsidRPr="00B17B27">
              <w:rPr>
                <w:sz w:val="24"/>
                <w:szCs w:val="24"/>
                <w:lang w:val="en-US" w:eastAsia="ja-JP"/>
              </w:rPr>
              <w:t>00.000</w:t>
            </w:r>
          </w:p>
        </w:tc>
        <w:tc>
          <w:tcPr>
            <w:tcW w:w="973" w:type="pct"/>
            <w:shd w:val="clear" w:color="auto" w:fill="auto"/>
            <w:vAlign w:val="center"/>
          </w:tcPr>
          <w:p w14:paraId="5B85385A" w14:textId="77777777" w:rsidR="00D22C4A" w:rsidRPr="00D22C4A" w:rsidRDefault="00D22C4A" w:rsidP="00B17B27">
            <w:pPr>
              <w:jc w:val="center"/>
              <w:rPr>
                <w:sz w:val="24"/>
                <w:szCs w:val="24"/>
                <w:lang w:val="en-US" w:eastAsia="ja-JP"/>
              </w:rPr>
            </w:pPr>
          </w:p>
        </w:tc>
      </w:tr>
      <w:tr w:rsidR="00D22C4A" w:rsidRPr="00E30842" w14:paraId="3CDB8925" w14:textId="77777777" w:rsidTr="007334D3">
        <w:trPr>
          <w:trHeight w:val="375"/>
        </w:trPr>
        <w:tc>
          <w:tcPr>
            <w:tcW w:w="363" w:type="pct"/>
            <w:shd w:val="clear" w:color="auto" w:fill="auto"/>
            <w:vAlign w:val="center"/>
          </w:tcPr>
          <w:p w14:paraId="6DF6CEDB" w14:textId="0D873169" w:rsidR="00D22C4A" w:rsidRPr="00D22C4A" w:rsidRDefault="00D22C4A" w:rsidP="00B17B27">
            <w:pPr>
              <w:jc w:val="center"/>
              <w:rPr>
                <w:sz w:val="24"/>
                <w:szCs w:val="24"/>
                <w:lang w:val="en-US" w:eastAsia="ja-JP"/>
              </w:rPr>
            </w:pPr>
            <w:r>
              <w:rPr>
                <w:sz w:val="24"/>
                <w:szCs w:val="24"/>
                <w:lang w:val="en-US" w:eastAsia="ja-JP"/>
              </w:rPr>
              <w:t>-</w:t>
            </w:r>
          </w:p>
        </w:tc>
        <w:tc>
          <w:tcPr>
            <w:tcW w:w="993" w:type="pct"/>
            <w:shd w:val="clear" w:color="auto" w:fill="auto"/>
            <w:noWrap/>
            <w:vAlign w:val="center"/>
          </w:tcPr>
          <w:p w14:paraId="306A9F72" w14:textId="0909DAB0" w:rsidR="00D22C4A" w:rsidRPr="00D22C4A" w:rsidRDefault="00D22C4A" w:rsidP="00B17B27">
            <w:pPr>
              <w:rPr>
                <w:sz w:val="24"/>
                <w:szCs w:val="24"/>
                <w:lang w:val="en-US" w:eastAsia="ja-JP"/>
              </w:rPr>
            </w:pPr>
            <w:r>
              <w:rPr>
                <w:sz w:val="24"/>
                <w:szCs w:val="24"/>
                <w:lang w:val="en-US" w:eastAsia="ja-JP"/>
              </w:rPr>
              <w:t>Thuê xe kiểm tra thực tế</w:t>
            </w:r>
          </w:p>
        </w:tc>
        <w:tc>
          <w:tcPr>
            <w:tcW w:w="458" w:type="pct"/>
            <w:shd w:val="clear" w:color="auto" w:fill="auto"/>
            <w:vAlign w:val="center"/>
          </w:tcPr>
          <w:p w14:paraId="0573A3DF" w14:textId="18442FA8" w:rsidR="00D22C4A" w:rsidRPr="00D22C4A" w:rsidRDefault="00D22C4A" w:rsidP="00B17B27">
            <w:pPr>
              <w:jc w:val="center"/>
              <w:rPr>
                <w:sz w:val="24"/>
                <w:szCs w:val="24"/>
                <w:lang w:val="en-US" w:eastAsia="ja-JP"/>
              </w:rPr>
            </w:pPr>
            <w:r>
              <w:rPr>
                <w:sz w:val="24"/>
                <w:szCs w:val="24"/>
                <w:lang w:val="en-US" w:eastAsia="ja-JP"/>
              </w:rPr>
              <w:t>1</w:t>
            </w:r>
          </w:p>
        </w:tc>
        <w:tc>
          <w:tcPr>
            <w:tcW w:w="763" w:type="pct"/>
            <w:shd w:val="clear" w:color="auto" w:fill="auto"/>
            <w:vAlign w:val="center"/>
          </w:tcPr>
          <w:p w14:paraId="4062521E" w14:textId="26A02B17" w:rsidR="00D22C4A" w:rsidRPr="00D22C4A" w:rsidRDefault="00D22C4A" w:rsidP="005A32A6">
            <w:pPr>
              <w:jc w:val="center"/>
              <w:rPr>
                <w:sz w:val="24"/>
                <w:szCs w:val="24"/>
                <w:lang w:val="en-US" w:eastAsia="ja-JP"/>
              </w:rPr>
            </w:pPr>
            <w:r>
              <w:rPr>
                <w:sz w:val="24"/>
                <w:szCs w:val="24"/>
                <w:lang w:val="en-US" w:eastAsia="ja-JP"/>
              </w:rPr>
              <w:t>1.</w:t>
            </w:r>
            <w:r w:rsidR="00503F66">
              <w:rPr>
                <w:sz w:val="24"/>
                <w:szCs w:val="24"/>
                <w:lang w:val="en-US" w:eastAsia="ja-JP"/>
              </w:rPr>
              <w:t>5</w:t>
            </w:r>
            <w:r>
              <w:rPr>
                <w:sz w:val="24"/>
                <w:szCs w:val="24"/>
                <w:lang w:val="en-US" w:eastAsia="ja-JP"/>
              </w:rPr>
              <w:t>00.000</w:t>
            </w:r>
          </w:p>
        </w:tc>
        <w:tc>
          <w:tcPr>
            <w:tcW w:w="534" w:type="pct"/>
            <w:shd w:val="clear" w:color="auto" w:fill="auto"/>
            <w:vAlign w:val="center"/>
          </w:tcPr>
          <w:p w14:paraId="16F513E8" w14:textId="33A5BAB6" w:rsidR="00D22C4A" w:rsidRPr="00D22C4A" w:rsidRDefault="00521FF2" w:rsidP="005A32A6">
            <w:pPr>
              <w:jc w:val="center"/>
              <w:rPr>
                <w:sz w:val="24"/>
                <w:szCs w:val="24"/>
                <w:lang w:val="en-US" w:eastAsia="ja-JP"/>
              </w:rPr>
            </w:pPr>
            <w:r>
              <w:rPr>
                <w:sz w:val="24"/>
                <w:szCs w:val="24"/>
                <w:lang w:val="en-US" w:eastAsia="ja-JP"/>
              </w:rPr>
              <w:t>4</w:t>
            </w:r>
            <w:r w:rsidR="00D22C4A">
              <w:rPr>
                <w:sz w:val="24"/>
                <w:szCs w:val="24"/>
                <w:lang w:val="en-US" w:eastAsia="ja-JP"/>
              </w:rPr>
              <w:t>0</w:t>
            </w:r>
          </w:p>
        </w:tc>
        <w:tc>
          <w:tcPr>
            <w:tcW w:w="916" w:type="pct"/>
            <w:shd w:val="clear" w:color="auto" w:fill="auto"/>
            <w:vAlign w:val="center"/>
          </w:tcPr>
          <w:p w14:paraId="530957F0" w14:textId="42BEB375" w:rsidR="00D22C4A" w:rsidRPr="00D22C4A" w:rsidRDefault="00521FF2" w:rsidP="00B17B27">
            <w:pPr>
              <w:jc w:val="center"/>
              <w:rPr>
                <w:sz w:val="24"/>
                <w:szCs w:val="24"/>
                <w:lang w:val="en-US" w:eastAsia="ja-JP"/>
              </w:rPr>
            </w:pPr>
            <w:r>
              <w:rPr>
                <w:sz w:val="24"/>
                <w:szCs w:val="24"/>
                <w:lang w:val="en-US" w:eastAsia="ja-JP"/>
              </w:rPr>
              <w:t>60</w:t>
            </w:r>
            <w:r w:rsidR="003954ED">
              <w:rPr>
                <w:sz w:val="24"/>
                <w:szCs w:val="24"/>
                <w:lang w:val="en-US" w:eastAsia="ja-JP"/>
              </w:rPr>
              <w:t>.0</w:t>
            </w:r>
            <w:r w:rsidR="003954ED" w:rsidRPr="00B17B27">
              <w:rPr>
                <w:sz w:val="24"/>
                <w:szCs w:val="24"/>
                <w:lang w:val="en-US" w:eastAsia="ja-JP"/>
              </w:rPr>
              <w:t>00.000</w:t>
            </w:r>
          </w:p>
        </w:tc>
        <w:tc>
          <w:tcPr>
            <w:tcW w:w="973" w:type="pct"/>
            <w:shd w:val="clear" w:color="auto" w:fill="auto"/>
            <w:vAlign w:val="center"/>
          </w:tcPr>
          <w:p w14:paraId="287F75EB" w14:textId="77777777" w:rsidR="00D22C4A" w:rsidRPr="00D22C4A" w:rsidRDefault="00D22C4A" w:rsidP="00B17B27">
            <w:pPr>
              <w:jc w:val="center"/>
              <w:rPr>
                <w:sz w:val="24"/>
                <w:szCs w:val="24"/>
                <w:lang w:val="en-US" w:eastAsia="ja-JP"/>
              </w:rPr>
            </w:pPr>
          </w:p>
        </w:tc>
      </w:tr>
      <w:tr w:rsidR="007334D3" w:rsidRPr="00E30842" w14:paraId="5152E79F" w14:textId="77777777" w:rsidTr="007334D3">
        <w:trPr>
          <w:trHeight w:val="375"/>
        </w:trPr>
        <w:tc>
          <w:tcPr>
            <w:tcW w:w="363" w:type="pct"/>
            <w:shd w:val="clear" w:color="000000" w:fill="FFFFFF"/>
            <w:vAlign w:val="center"/>
            <w:hideMark/>
          </w:tcPr>
          <w:p w14:paraId="5D0414E6" w14:textId="7344C961" w:rsidR="00A4213E" w:rsidRPr="00B17B27" w:rsidRDefault="00D22C4A" w:rsidP="00B17B27">
            <w:pPr>
              <w:jc w:val="center"/>
              <w:rPr>
                <w:b/>
                <w:bCs/>
                <w:sz w:val="24"/>
                <w:szCs w:val="24"/>
                <w:lang w:val="en-US" w:eastAsia="ja-JP"/>
              </w:rPr>
            </w:pPr>
            <w:r>
              <w:rPr>
                <w:b/>
                <w:bCs/>
                <w:sz w:val="24"/>
                <w:szCs w:val="24"/>
                <w:lang w:val="en-US" w:eastAsia="ja-JP"/>
              </w:rPr>
              <w:lastRenderedPageBreak/>
              <w:t>2</w:t>
            </w:r>
          </w:p>
        </w:tc>
        <w:tc>
          <w:tcPr>
            <w:tcW w:w="993" w:type="pct"/>
            <w:shd w:val="clear" w:color="000000" w:fill="FFFFFF"/>
            <w:vAlign w:val="center"/>
            <w:hideMark/>
          </w:tcPr>
          <w:p w14:paraId="00A2A954" w14:textId="77777777" w:rsidR="00A4213E" w:rsidRPr="00B17B27" w:rsidRDefault="00A4213E" w:rsidP="00B17B27">
            <w:pPr>
              <w:rPr>
                <w:b/>
                <w:bCs/>
                <w:sz w:val="24"/>
                <w:szCs w:val="24"/>
                <w:lang w:val="en-US" w:eastAsia="ja-JP"/>
              </w:rPr>
            </w:pPr>
            <w:r w:rsidRPr="00B17B27">
              <w:rPr>
                <w:b/>
                <w:bCs/>
                <w:sz w:val="24"/>
                <w:szCs w:val="24"/>
                <w:lang w:val="en-US" w:eastAsia="ja-JP"/>
              </w:rPr>
              <w:t>Hội đồng thẩm định</w:t>
            </w:r>
          </w:p>
        </w:tc>
        <w:tc>
          <w:tcPr>
            <w:tcW w:w="458" w:type="pct"/>
            <w:shd w:val="clear" w:color="auto" w:fill="auto"/>
            <w:vAlign w:val="center"/>
            <w:hideMark/>
          </w:tcPr>
          <w:p w14:paraId="7B46B2F6" w14:textId="77777777" w:rsidR="00A4213E" w:rsidRPr="00B17B27" w:rsidRDefault="00A4213E" w:rsidP="00B17B27">
            <w:pPr>
              <w:jc w:val="center"/>
              <w:rPr>
                <w:b/>
                <w:bCs/>
                <w:sz w:val="24"/>
                <w:szCs w:val="24"/>
                <w:lang w:val="en-US" w:eastAsia="ja-JP"/>
              </w:rPr>
            </w:pPr>
            <w:r w:rsidRPr="00B17B27">
              <w:rPr>
                <w:b/>
                <w:bCs/>
                <w:sz w:val="24"/>
                <w:szCs w:val="24"/>
                <w:lang w:val="en-US" w:eastAsia="ja-JP"/>
              </w:rPr>
              <w:t> </w:t>
            </w:r>
          </w:p>
        </w:tc>
        <w:tc>
          <w:tcPr>
            <w:tcW w:w="763" w:type="pct"/>
            <w:shd w:val="clear" w:color="auto" w:fill="auto"/>
            <w:vAlign w:val="center"/>
            <w:hideMark/>
          </w:tcPr>
          <w:p w14:paraId="624C7117" w14:textId="77777777" w:rsidR="00A4213E" w:rsidRPr="00B17B27" w:rsidRDefault="00A4213E" w:rsidP="00B17B27">
            <w:pPr>
              <w:jc w:val="center"/>
              <w:rPr>
                <w:b/>
                <w:bCs/>
                <w:sz w:val="24"/>
                <w:szCs w:val="24"/>
                <w:lang w:val="en-US" w:eastAsia="ja-JP"/>
              </w:rPr>
            </w:pPr>
            <w:r w:rsidRPr="00B17B27">
              <w:rPr>
                <w:b/>
                <w:bCs/>
                <w:sz w:val="24"/>
                <w:szCs w:val="24"/>
                <w:lang w:val="en-US" w:eastAsia="ja-JP"/>
              </w:rPr>
              <w:t> </w:t>
            </w:r>
          </w:p>
        </w:tc>
        <w:tc>
          <w:tcPr>
            <w:tcW w:w="534" w:type="pct"/>
            <w:shd w:val="clear" w:color="auto" w:fill="auto"/>
            <w:vAlign w:val="center"/>
            <w:hideMark/>
          </w:tcPr>
          <w:p w14:paraId="299B7020" w14:textId="77777777" w:rsidR="00A4213E" w:rsidRPr="00B17B27" w:rsidRDefault="00A4213E" w:rsidP="00B17B27">
            <w:pPr>
              <w:jc w:val="center"/>
              <w:rPr>
                <w:sz w:val="24"/>
                <w:szCs w:val="24"/>
                <w:lang w:val="en-US" w:eastAsia="ja-JP"/>
              </w:rPr>
            </w:pPr>
            <w:r w:rsidRPr="00B17B27">
              <w:rPr>
                <w:sz w:val="24"/>
                <w:szCs w:val="24"/>
                <w:lang w:val="en-US" w:eastAsia="ja-JP"/>
              </w:rPr>
              <w:t> </w:t>
            </w:r>
          </w:p>
        </w:tc>
        <w:tc>
          <w:tcPr>
            <w:tcW w:w="916" w:type="pct"/>
            <w:shd w:val="clear" w:color="auto" w:fill="auto"/>
            <w:vAlign w:val="center"/>
          </w:tcPr>
          <w:p w14:paraId="4B293D43" w14:textId="0C56089F" w:rsidR="00A4213E" w:rsidRPr="00B17B27" w:rsidRDefault="00A4213E" w:rsidP="00B17B27">
            <w:pPr>
              <w:jc w:val="center"/>
              <w:rPr>
                <w:b/>
                <w:bCs/>
                <w:sz w:val="24"/>
                <w:szCs w:val="24"/>
                <w:lang w:val="en-US" w:eastAsia="ja-JP"/>
              </w:rPr>
            </w:pPr>
          </w:p>
        </w:tc>
        <w:tc>
          <w:tcPr>
            <w:tcW w:w="973" w:type="pct"/>
            <w:vMerge w:val="restart"/>
            <w:shd w:val="clear" w:color="auto" w:fill="auto"/>
            <w:vAlign w:val="center"/>
            <w:hideMark/>
          </w:tcPr>
          <w:p w14:paraId="082011AE" w14:textId="56E995F2" w:rsidR="00A4213E" w:rsidRPr="00B17B27" w:rsidRDefault="00BC77D9" w:rsidP="00B17B27">
            <w:pPr>
              <w:rPr>
                <w:sz w:val="24"/>
                <w:szCs w:val="24"/>
                <w:lang w:val="en-US" w:eastAsia="ja-JP"/>
              </w:rPr>
            </w:pPr>
            <w:r w:rsidRPr="00BC77D9">
              <w:rPr>
                <w:sz w:val="24"/>
                <w:szCs w:val="24"/>
                <w:lang w:val="en-US" w:eastAsia="ja-JP"/>
              </w:rPr>
              <w:t>Nội dung chi theo Khoản 5, Khoản 7 Điều 13 Thông tư số 02/2022/TT-BTNMT</w:t>
            </w:r>
            <w:r w:rsidR="002F7473">
              <w:rPr>
                <w:sz w:val="24"/>
                <w:szCs w:val="24"/>
                <w:lang w:val="en-US" w:eastAsia="ja-JP"/>
              </w:rPr>
              <w:t xml:space="preserve"> được sửa đổi, bổ sung tại khoản 3, khoản 4 Điều 1 Thông tư số 07/2025/TT-BTNMT</w:t>
            </w:r>
            <w:r w:rsidRPr="00BC77D9">
              <w:rPr>
                <w:sz w:val="24"/>
                <w:szCs w:val="24"/>
                <w:lang w:val="en-US" w:eastAsia="ja-JP"/>
              </w:rPr>
              <w:t xml:space="preserve"> và Mức chi theo quy định tại khoản 6, Phụ lục số 01 Thông tư số 02/2017/TT-BTC</w:t>
            </w:r>
          </w:p>
        </w:tc>
      </w:tr>
      <w:tr w:rsidR="007334D3" w:rsidRPr="00E30842" w14:paraId="469600BC" w14:textId="77777777" w:rsidTr="007334D3">
        <w:trPr>
          <w:trHeight w:val="375"/>
        </w:trPr>
        <w:tc>
          <w:tcPr>
            <w:tcW w:w="363" w:type="pct"/>
            <w:shd w:val="clear" w:color="000000" w:fill="FFFFFF"/>
            <w:vAlign w:val="center"/>
            <w:hideMark/>
          </w:tcPr>
          <w:p w14:paraId="748CAD6E" w14:textId="77777777" w:rsidR="00A4213E" w:rsidRPr="00B17B27" w:rsidRDefault="00A4213E" w:rsidP="00B17B27">
            <w:pPr>
              <w:jc w:val="center"/>
              <w:rPr>
                <w:sz w:val="24"/>
                <w:szCs w:val="24"/>
                <w:lang w:val="en-US" w:eastAsia="ja-JP"/>
              </w:rPr>
            </w:pPr>
            <w:r w:rsidRPr="00B17B27">
              <w:rPr>
                <w:sz w:val="24"/>
                <w:szCs w:val="24"/>
                <w:lang w:val="en-US" w:eastAsia="ja-JP"/>
              </w:rPr>
              <w:t>a</w:t>
            </w:r>
          </w:p>
        </w:tc>
        <w:tc>
          <w:tcPr>
            <w:tcW w:w="993" w:type="pct"/>
            <w:shd w:val="clear" w:color="000000" w:fill="FFFFFF"/>
            <w:vAlign w:val="center"/>
            <w:hideMark/>
          </w:tcPr>
          <w:p w14:paraId="53E639AA" w14:textId="77777777" w:rsidR="00A4213E" w:rsidRPr="00B17B27" w:rsidRDefault="00A4213E" w:rsidP="00B17B27">
            <w:pPr>
              <w:rPr>
                <w:sz w:val="24"/>
                <w:szCs w:val="24"/>
                <w:lang w:val="en-US" w:eastAsia="ja-JP"/>
              </w:rPr>
            </w:pPr>
            <w:r w:rsidRPr="00B17B27">
              <w:rPr>
                <w:sz w:val="24"/>
                <w:szCs w:val="24"/>
                <w:lang w:val="en-US" w:eastAsia="ja-JP"/>
              </w:rPr>
              <w:t>Chi tham dự họp Hội đồng thẩm định</w:t>
            </w:r>
          </w:p>
        </w:tc>
        <w:tc>
          <w:tcPr>
            <w:tcW w:w="458" w:type="pct"/>
            <w:shd w:val="clear" w:color="auto" w:fill="auto"/>
            <w:vAlign w:val="center"/>
            <w:hideMark/>
          </w:tcPr>
          <w:p w14:paraId="423F0D64" w14:textId="77777777" w:rsidR="00A4213E" w:rsidRPr="00B17B27" w:rsidRDefault="00A4213E" w:rsidP="00B17B27">
            <w:pPr>
              <w:jc w:val="center"/>
              <w:rPr>
                <w:b/>
                <w:bCs/>
                <w:sz w:val="24"/>
                <w:szCs w:val="24"/>
                <w:lang w:val="en-US" w:eastAsia="ja-JP"/>
              </w:rPr>
            </w:pPr>
            <w:r w:rsidRPr="00B17B27">
              <w:rPr>
                <w:b/>
                <w:bCs/>
                <w:sz w:val="24"/>
                <w:szCs w:val="24"/>
                <w:lang w:val="en-US" w:eastAsia="ja-JP"/>
              </w:rPr>
              <w:t> </w:t>
            </w:r>
          </w:p>
        </w:tc>
        <w:tc>
          <w:tcPr>
            <w:tcW w:w="763" w:type="pct"/>
            <w:shd w:val="clear" w:color="auto" w:fill="auto"/>
            <w:vAlign w:val="center"/>
            <w:hideMark/>
          </w:tcPr>
          <w:p w14:paraId="07F19EFB" w14:textId="77777777" w:rsidR="00A4213E" w:rsidRPr="00B17B27" w:rsidRDefault="00A4213E" w:rsidP="00B17B27">
            <w:pPr>
              <w:jc w:val="center"/>
              <w:rPr>
                <w:b/>
                <w:bCs/>
                <w:sz w:val="24"/>
                <w:szCs w:val="24"/>
                <w:lang w:val="en-US" w:eastAsia="ja-JP"/>
              </w:rPr>
            </w:pPr>
            <w:r w:rsidRPr="00B17B27">
              <w:rPr>
                <w:b/>
                <w:bCs/>
                <w:sz w:val="24"/>
                <w:szCs w:val="24"/>
                <w:lang w:val="en-US" w:eastAsia="ja-JP"/>
              </w:rPr>
              <w:t> </w:t>
            </w:r>
          </w:p>
        </w:tc>
        <w:tc>
          <w:tcPr>
            <w:tcW w:w="534" w:type="pct"/>
            <w:shd w:val="clear" w:color="auto" w:fill="auto"/>
            <w:vAlign w:val="center"/>
            <w:hideMark/>
          </w:tcPr>
          <w:p w14:paraId="5B6CBB01" w14:textId="77777777" w:rsidR="00A4213E" w:rsidRPr="00B17B27" w:rsidRDefault="00A4213E" w:rsidP="00B17B27">
            <w:pPr>
              <w:jc w:val="center"/>
              <w:rPr>
                <w:sz w:val="24"/>
                <w:szCs w:val="24"/>
                <w:lang w:val="en-US" w:eastAsia="ja-JP"/>
              </w:rPr>
            </w:pPr>
            <w:r w:rsidRPr="00B17B27">
              <w:rPr>
                <w:sz w:val="24"/>
                <w:szCs w:val="24"/>
                <w:lang w:val="en-US" w:eastAsia="ja-JP"/>
              </w:rPr>
              <w:t> </w:t>
            </w:r>
          </w:p>
        </w:tc>
        <w:tc>
          <w:tcPr>
            <w:tcW w:w="916" w:type="pct"/>
            <w:shd w:val="clear" w:color="auto" w:fill="auto"/>
            <w:vAlign w:val="center"/>
            <w:hideMark/>
          </w:tcPr>
          <w:p w14:paraId="754EFB90" w14:textId="77777777" w:rsidR="00A4213E" w:rsidRPr="00B17B27" w:rsidRDefault="00A4213E" w:rsidP="00B17B27">
            <w:pPr>
              <w:jc w:val="center"/>
              <w:rPr>
                <w:b/>
                <w:bCs/>
                <w:sz w:val="24"/>
                <w:szCs w:val="24"/>
                <w:lang w:val="en-US" w:eastAsia="ja-JP"/>
              </w:rPr>
            </w:pPr>
            <w:r w:rsidRPr="00B17B27">
              <w:rPr>
                <w:b/>
                <w:bCs/>
                <w:sz w:val="24"/>
                <w:szCs w:val="24"/>
                <w:lang w:val="en-US" w:eastAsia="ja-JP"/>
              </w:rPr>
              <w:t> </w:t>
            </w:r>
          </w:p>
        </w:tc>
        <w:tc>
          <w:tcPr>
            <w:tcW w:w="973" w:type="pct"/>
            <w:vMerge/>
            <w:vAlign w:val="center"/>
            <w:hideMark/>
          </w:tcPr>
          <w:p w14:paraId="7215BA39" w14:textId="77777777" w:rsidR="00A4213E" w:rsidRPr="00B17B27" w:rsidRDefault="00A4213E" w:rsidP="00B17B27">
            <w:pPr>
              <w:jc w:val="left"/>
              <w:rPr>
                <w:sz w:val="24"/>
                <w:szCs w:val="24"/>
                <w:lang w:val="en-US" w:eastAsia="ja-JP"/>
              </w:rPr>
            </w:pPr>
          </w:p>
        </w:tc>
      </w:tr>
      <w:tr w:rsidR="00D22C4A" w:rsidRPr="00E30842" w14:paraId="31C5F20C" w14:textId="77777777" w:rsidTr="00D22C4A">
        <w:trPr>
          <w:trHeight w:val="375"/>
        </w:trPr>
        <w:tc>
          <w:tcPr>
            <w:tcW w:w="363" w:type="pct"/>
            <w:shd w:val="clear" w:color="000000" w:fill="FFFFFF"/>
            <w:vAlign w:val="center"/>
            <w:hideMark/>
          </w:tcPr>
          <w:p w14:paraId="54A4FBAD" w14:textId="77777777" w:rsidR="00D22C4A" w:rsidRPr="00B17B27" w:rsidRDefault="00D22C4A" w:rsidP="00D22C4A">
            <w:pPr>
              <w:jc w:val="center"/>
              <w:rPr>
                <w:sz w:val="24"/>
                <w:szCs w:val="24"/>
                <w:lang w:val="en-US" w:eastAsia="ja-JP"/>
              </w:rPr>
            </w:pPr>
            <w:r w:rsidRPr="00B17B27">
              <w:rPr>
                <w:sz w:val="24"/>
                <w:szCs w:val="24"/>
                <w:lang w:val="en-US" w:eastAsia="ja-JP"/>
              </w:rPr>
              <w:t>-</w:t>
            </w:r>
          </w:p>
        </w:tc>
        <w:tc>
          <w:tcPr>
            <w:tcW w:w="993" w:type="pct"/>
            <w:shd w:val="clear" w:color="000000" w:fill="FFFFFF"/>
            <w:vAlign w:val="center"/>
            <w:hideMark/>
          </w:tcPr>
          <w:p w14:paraId="5857EBCC" w14:textId="77777777" w:rsidR="00D22C4A" w:rsidRPr="00B17B27" w:rsidRDefault="00D22C4A" w:rsidP="00D22C4A">
            <w:pPr>
              <w:rPr>
                <w:sz w:val="24"/>
                <w:szCs w:val="24"/>
                <w:lang w:val="en-US" w:eastAsia="ja-JP"/>
              </w:rPr>
            </w:pPr>
            <w:r w:rsidRPr="00B17B27">
              <w:rPr>
                <w:sz w:val="24"/>
                <w:szCs w:val="24"/>
                <w:lang w:val="en-US" w:eastAsia="ja-JP"/>
              </w:rPr>
              <w:t>Ủy viên, ủy viên thư ký Hội đồng</w:t>
            </w:r>
          </w:p>
        </w:tc>
        <w:tc>
          <w:tcPr>
            <w:tcW w:w="458" w:type="pct"/>
            <w:shd w:val="clear" w:color="auto" w:fill="auto"/>
            <w:vAlign w:val="center"/>
            <w:hideMark/>
          </w:tcPr>
          <w:p w14:paraId="3FFDC3AE" w14:textId="5541045F" w:rsidR="00D22C4A" w:rsidRPr="00B17B27" w:rsidRDefault="00414160" w:rsidP="00D22C4A">
            <w:pPr>
              <w:jc w:val="center"/>
              <w:rPr>
                <w:sz w:val="24"/>
                <w:szCs w:val="24"/>
                <w:lang w:val="en-US" w:eastAsia="ja-JP"/>
              </w:rPr>
            </w:pPr>
            <w:r>
              <w:rPr>
                <w:sz w:val="24"/>
                <w:szCs w:val="24"/>
                <w:lang w:val="en-US" w:eastAsia="ja-JP"/>
              </w:rPr>
              <w:t>4</w:t>
            </w:r>
          </w:p>
        </w:tc>
        <w:tc>
          <w:tcPr>
            <w:tcW w:w="763" w:type="pct"/>
            <w:shd w:val="clear" w:color="auto" w:fill="auto"/>
            <w:vAlign w:val="center"/>
            <w:hideMark/>
          </w:tcPr>
          <w:p w14:paraId="0548CA7F" w14:textId="77777777" w:rsidR="00D22C4A" w:rsidRPr="00B17B27" w:rsidRDefault="00D22C4A" w:rsidP="00D22C4A">
            <w:pPr>
              <w:jc w:val="center"/>
              <w:rPr>
                <w:sz w:val="24"/>
                <w:szCs w:val="24"/>
                <w:lang w:val="en-US" w:eastAsia="ja-JP"/>
              </w:rPr>
            </w:pPr>
            <w:r w:rsidRPr="00B17B27">
              <w:rPr>
                <w:sz w:val="24"/>
                <w:szCs w:val="24"/>
                <w:lang w:val="en-US" w:eastAsia="ja-JP"/>
              </w:rPr>
              <w:t>300.000</w:t>
            </w:r>
          </w:p>
        </w:tc>
        <w:tc>
          <w:tcPr>
            <w:tcW w:w="534" w:type="pct"/>
            <w:shd w:val="clear" w:color="auto" w:fill="auto"/>
            <w:vAlign w:val="center"/>
            <w:hideMark/>
          </w:tcPr>
          <w:p w14:paraId="548D2D46" w14:textId="7F19C500" w:rsidR="00D22C4A" w:rsidRPr="00B17B27" w:rsidRDefault="00F37B64" w:rsidP="00D22C4A">
            <w:pPr>
              <w:jc w:val="center"/>
              <w:rPr>
                <w:sz w:val="24"/>
                <w:szCs w:val="24"/>
                <w:lang w:val="en-US" w:eastAsia="ja-JP"/>
              </w:rPr>
            </w:pPr>
            <w:r>
              <w:rPr>
                <w:sz w:val="24"/>
                <w:szCs w:val="24"/>
                <w:lang w:val="en-US" w:eastAsia="ja-JP"/>
              </w:rPr>
              <w:t>60</w:t>
            </w:r>
          </w:p>
        </w:tc>
        <w:tc>
          <w:tcPr>
            <w:tcW w:w="916" w:type="pct"/>
            <w:shd w:val="clear" w:color="auto" w:fill="auto"/>
            <w:vAlign w:val="center"/>
            <w:hideMark/>
          </w:tcPr>
          <w:p w14:paraId="470EA6AE" w14:textId="742382B1" w:rsidR="00D22C4A" w:rsidRPr="00B17B27" w:rsidRDefault="00F37B64" w:rsidP="00D22C4A">
            <w:pPr>
              <w:jc w:val="center"/>
              <w:rPr>
                <w:sz w:val="24"/>
                <w:szCs w:val="24"/>
                <w:lang w:val="en-US" w:eastAsia="ja-JP"/>
              </w:rPr>
            </w:pPr>
            <w:r>
              <w:rPr>
                <w:sz w:val="24"/>
                <w:szCs w:val="24"/>
                <w:lang w:val="en-US" w:eastAsia="ja-JP"/>
              </w:rPr>
              <w:t>72</w:t>
            </w:r>
            <w:r w:rsidR="00D22C4A">
              <w:rPr>
                <w:sz w:val="24"/>
                <w:szCs w:val="24"/>
                <w:lang w:val="en-US" w:eastAsia="ja-JP"/>
              </w:rPr>
              <w:t>.0</w:t>
            </w:r>
            <w:r w:rsidR="00D22C4A" w:rsidRPr="00B17B27">
              <w:rPr>
                <w:sz w:val="24"/>
                <w:szCs w:val="24"/>
                <w:lang w:val="en-US" w:eastAsia="ja-JP"/>
              </w:rPr>
              <w:t>00.000</w:t>
            </w:r>
          </w:p>
        </w:tc>
        <w:tc>
          <w:tcPr>
            <w:tcW w:w="973" w:type="pct"/>
            <w:vMerge/>
            <w:vAlign w:val="center"/>
            <w:hideMark/>
          </w:tcPr>
          <w:p w14:paraId="181D294B" w14:textId="77777777" w:rsidR="00D22C4A" w:rsidRPr="00B17B27" w:rsidRDefault="00D22C4A" w:rsidP="00D22C4A">
            <w:pPr>
              <w:jc w:val="left"/>
              <w:rPr>
                <w:sz w:val="24"/>
                <w:szCs w:val="24"/>
                <w:lang w:val="en-US" w:eastAsia="ja-JP"/>
              </w:rPr>
            </w:pPr>
          </w:p>
        </w:tc>
      </w:tr>
      <w:tr w:rsidR="00D22C4A" w:rsidRPr="00E30842" w14:paraId="55469580" w14:textId="77777777" w:rsidTr="00D22C4A">
        <w:trPr>
          <w:trHeight w:val="375"/>
        </w:trPr>
        <w:tc>
          <w:tcPr>
            <w:tcW w:w="363" w:type="pct"/>
            <w:shd w:val="clear" w:color="000000" w:fill="FFFFFF"/>
            <w:vAlign w:val="center"/>
            <w:hideMark/>
          </w:tcPr>
          <w:p w14:paraId="11E37AFF" w14:textId="77777777" w:rsidR="00D22C4A" w:rsidRPr="00B17B27" w:rsidRDefault="00D22C4A" w:rsidP="00D22C4A">
            <w:pPr>
              <w:jc w:val="center"/>
              <w:rPr>
                <w:sz w:val="24"/>
                <w:szCs w:val="24"/>
                <w:lang w:val="en-US" w:eastAsia="ja-JP"/>
              </w:rPr>
            </w:pPr>
            <w:r w:rsidRPr="00B17B27">
              <w:rPr>
                <w:sz w:val="24"/>
                <w:szCs w:val="24"/>
                <w:lang w:val="en-US" w:eastAsia="ja-JP"/>
              </w:rPr>
              <w:t>-</w:t>
            </w:r>
          </w:p>
        </w:tc>
        <w:tc>
          <w:tcPr>
            <w:tcW w:w="993" w:type="pct"/>
            <w:shd w:val="clear" w:color="000000" w:fill="FFFFFF"/>
            <w:vAlign w:val="center"/>
            <w:hideMark/>
          </w:tcPr>
          <w:p w14:paraId="5EF24ACC" w14:textId="77777777" w:rsidR="00D22C4A" w:rsidRPr="00B17B27" w:rsidRDefault="00D22C4A" w:rsidP="00D22C4A">
            <w:pPr>
              <w:rPr>
                <w:sz w:val="24"/>
                <w:szCs w:val="24"/>
                <w:lang w:val="en-US" w:eastAsia="ja-JP"/>
              </w:rPr>
            </w:pPr>
            <w:r w:rsidRPr="00B17B27">
              <w:rPr>
                <w:sz w:val="24"/>
                <w:szCs w:val="24"/>
                <w:lang w:val="en-US" w:eastAsia="ja-JP"/>
              </w:rPr>
              <w:t>Đại biểu tham dự</w:t>
            </w:r>
          </w:p>
        </w:tc>
        <w:tc>
          <w:tcPr>
            <w:tcW w:w="458" w:type="pct"/>
            <w:shd w:val="clear" w:color="auto" w:fill="auto"/>
            <w:vAlign w:val="center"/>
            <w:hideMark/>
          </w:tcPr>
          <w:p w14:paraId="102C5CDD" w14:textId="77777777" w:rsidR="00D22C4A" w:rsidRPr="00B17B27" w:rsidRDefault="00D22C4A" w:rsidP="00D22C4A">
            <w:pPr>
              <w:jc w:val="center"/>
              <w:rPr>
                <w:sz w:val="24"/>
                <w:szCs w:val="24"/>
                <w:lang w:val="en-US" w:eastAsia="ja-JP"/>
              </w:rPr>
            </w:pPr>
            <w:r w:rsidRPr="00B17B27">
              <w:rPr>
                <w:sz w:val="24"/>
                <w:szCs w:val="24"/>
                <w:lang w:val="en-US" w:eastAsia="ja-JP"/>
              </w:rPr>
              <w:t>5</w:t>
            </w:r>
          </w:p>
        </w:tc>
        <w:tc>
          <w:tcPr>
            <w:tcW w:w="763" w:type="pct"/>
            <w:shd w:val="clear" w:color="auto" w:fill="auto"/>
            <w:vAlign w:val="center"/>
            <w:hideMark/>
          </w:tcPr>
          <w:p w14:paraId="10F33B37" w14:textId="77777777" w:rsidR="00D22C4A" w:rsidRPr="00B17B27" w:rsidRDefault="00D22C4A" w:rsidP="00D22C4A">
            <w:pPr>
              <w:jc w:val="center"/>
              <w:rPr>
                <w:sz w:val="24"/>
                <w:szCs w:val="24"/>
                <w:lang w:val="en-US" w:eastAsia="ja-JP"/>
              </w:rPr>
            </w:pPr>
            <w:r w:rsidRPr="00B17B27">
              <w:rPr>
                <w:sz w:val="24"/>
                <w:szCs w:val="24"/>
                <w:lang w:val="en-US" w:eastAsia="ja-JP"/>
              </w:rPr>
              <w:t>150.000</w:t>
            </w:r>
          </w:p>
        </w:tc>
        <w:tc>
          <w:tcPr>
            <w:tcW w:w="534" w:type="pct"/>
            <w:shd w:val="clear" w:color="auto" w:fill="auto"/>
            <w:vAlign w:val="center"/>
            <w:hideMark/>
          </w:tcPr>
          <w:p w14:paraId="5E3377E8" w14:textId="10A9B9B7" w:rsidR="00D22C4A" w:rsidRPr="00B17B27" w:rsidRDefault="00F37B64" w:rsidP="00D22C4A">
            <w:pPr>
              <w:jc w:val="center"/>
              <w:rPr>
                <w:sz w:val="24"/>
                <w:szCs w:val="24"/>
                <w:lang w:val="en-US" w:eastAsia="ja-JP"/>
              </w:rPr>
            </w:pPr>
            <w:r>
              <w:rPr>
                <w:sz w:val="24"/>
                <w:szCs w:val="24"/>
                <w:lang w:val="en-US" w:eastAsia="ja-JP"/>
              </w:rPr>
              <w:t>60</w:t>
            </w:r>
          </w:p>
        </w:tc>
        <w:tc>
          <w:tcPr>
            <w:tcW w:w="916" w:type="pct"/>
            <w:shd w:val="clear" w:color="auto" w:fill="auto"/>
            <w:vAlign w:val="center"/>
            <w:hideMark/>
          </w:tcPr>
          <w:p w14:paraId="778BF1B2" w14:textId="5475F2C9" w:rsidR="00D22C4A" w:rsidRPr="00B17B27" w:rsidRDefault="00F37B64" w:rsidP="00D22C4A">
            <w:pPr>
              <w:jc w:val="center"/>
              <w:rPr>
                <w:sz w:val="24"/>
                <w:szCs w:val="24"/>
                <w:lang w:val="en-US" w:eastAsia="ja-JP"/>
              </w:rPr>
            </w:pPr>
            <w:r>
              <w:rPr>
                <w:sz w:val="24"/>
                <w:szCs w:val="24"/>
                <w:lang w:val="en-US" w:eastAsia="ja-JP"/>
              </w:rPr>
              <w:t>45</w:t>
            </w:r>
            <w:r w:rsidR="00D22C4A">
              <w:rPr>
                <w:sz w:val="24"/>
                <w:szCs w:val="24"/>
                <w:lang w:val="en-US" w:eastAsia="ja-JP"/>
              </w:rPr>
              <w:t>.0</w:t>
            </w:r>
            <w:r w:rsidR="00D22C4A" w:rsidRPr="00B17B27">
              <w:rPr>
                <w:sz w:val="24"/>
                <w:szCs w:val="24"/>
                <w:lang w:val="en-US" w:eastAsia="ja-JP"/>
              </w:rPr>
              <w:t>00.000</w:t>
            </w:r>
          </w:p>
        </w:tc>
        <w:tc>
          <w:tcPr>
            <w:tcW w:w="973" w:type="pct"/>
            <w:vMerge/>
            <w:vAlign w:val="center"/>
            <w:hideMark/>
          </w:tcPr>
          <w:p w14:paraId="4EC42184" w14:textId="77777777" w:rsidR="00D22C4A" w:rsidRPr="00B17B27" w:rsidRDefault="00D22C4A" w:rsidP="00D22C4A">
            <w:pPr>
              <w:jc w:val="left"/>
              <w:rPr>
                <w:sz w:val="24"/>
                <w:szCs w:val="24"/>
                <w:lang w:val="en-US" w:eastAsia="ja-JP"/>
              </w:rPr>
            </w:pPr>
          </w:p>
        </w:tc>
      </w:tr>
      <w:tr w:rsidR="007334D3" w:rsidRPr="00E30842" w14:paraId="254FEB5E" w14:textId="77777777" w:rsidTr="007334D3">
        <w:trPr>
          <w:trHeight w:val="375"/>
        </w:trPr>
        <w:tc>
          <w:tcPr>
            <w:tcW w:w="363" w:type="pct"/>
            <w:shd w:val="clear" w:color="000000" w:fill="FFFFFF"/>
            <w:vAlign w:val="center"/>
            <w:hideMark/>
          </w:tcPr>
          <w:p w14:paraId="0FE23375" w14:textId="77777777" w:rsidR="00A4213E" w:rsidRPr="00B17B27" w:rsidRDefault="00A4213E" w:rsidP="00B17B27">
            <w:pPr>
              <w:jc w:val="center"/>
              <w:rPr>
                <w:sz w:val="24"/>
                <w:szCs w:val="24"/>
                <w:lang w:val="en-US" w:eastAsia="ja-JP"/>
              </w:rPr>
            </w:pPr>
            <w:r w:rsidRPr="00B17B27">
              <w:rPr>
                <w:sz w:val="24"/>
                <w:szCs w:val="24"/>
                <w:lang w:val="en-US" w:eastAsia="ja-JP"/>
              </w:rPr>
              <w:t>b</w:t>
            </w:r>
          </w:p>
        </w:tc>
        <w:tc>
          <w:tcPr>
            <w:tcW w:w="993" w:type="pct"/>
            <w:shd w:val="clear" w:color="000000" w:fill="FFFFFF"/>
            <w:vAlign w:val="center"/>
            <w:hideMark/>
          </w:tcPr>
          <w:p w14:paraId="73DCCED1" w14:textId="77777777" w:rsidR="00A4213E" w:rsidRPr="00B17B27" w:rsidRDefault="00A4213E" w:rsidP="00B17B27">
            <w:pPr>
              <w:rPr>
                <w:sz w:val="24"/>
                <w:szCs w:val="24"/>
                <w:lang w:val="en-US" w:eastAsia="ja-JP"/>
              </w:rPr>
            </w:pPr>
            <w:r w:rsidRPr="00B17B27">
              <w:rPr>
                <w:sz w:val="24"/>
                <w:szCs w:val="24"/>
                <w:lang w:val="en-US" w:eastAsia="ja-JP"/>
              </w:rPr>
              <w:t>Chi phí viết bản nhận xét</w:t>
            </w:r>
          </w:p>
        </w:tc>
        <w:tc>
          <w:tcPr>
            <w:tcW w:w="458" w:type="pct"/>
            <w:shd w:val="clear" w:color="auto" w:fill="auto"/>
            <w:vAlign w:val="center"/>
            <w:hideMark/>
          </w:tcPr>
          <w:p w14:paraId="78F7146B" w14:textId="77777777" w:rsidR="00A4213E" w:rsidRPr="00B17B27" w:rsidRDefault="00A4213E" w:rsidP="00B17B27">
            <w:pPr>
              <w:jc w:val="center"/>
              <w:rPr>
                <w:sz w:val="24"/>
                <w:szCs w:val="24"/>
                <w:lang w:val="en-US" w:eastAsia="ja-JP"/>
              </w:rPr>
            </w:pPr>
            <w:r w:rsidRPr="00B17B27">
              <w:rPr>
                <w:sz w:val="24"/>
                <w:szCs w:val="24"/>
                <w:lang w:val="en-US" w:eastAsia="ja-JP"/>
              </w:rPr>
              <w:t> </w:t>
            </w:r>
          </w:p>
        </w:tc>
        <w:tc>
          <w:tcPr>
            <w:tcW w:w="763" w:type="pct"/>
            <w:shd w:val="clear" w:color="auto" w:fill="auto"/>
            <w:vAlign w:val="center"/>
            <w:hideMark/>
          </w:tcPr>
          <w:p w14:paraId="39D74DAC" w14:textId="77777777" w:rsidR="00A4213E" w:rsidRPr="00B17B27" w:rsidRDefault="00A4213E" w:rsidP="00B17B27">
            <w:pPr>
              <w:jc w:val="center"/>
              <w:rPr>
                <w:sz w:val="24"/>
                <w:szCs w:val="24"/>
                <w:lang w:val="en-US" w:eastAsia="ja-JP"/>
              </w:rPr>
            </w:pPr>
            <w:r w:rsidRPr="00B17B27">
              <w:rPr>
                <w:sz w:val="24"/>
                <w:szCs w:val="24"/>
                <w:lang w:val="en-US" w:eastAsia="ja-JP"/>
              </w:rPr>
              <w:t> </w:t>
            </w:r>
          </w:p>
        </w:tc>
        <w:tc>
          <w:tcPr>
            <w:tcW w:w="534" w:type="pct"/>
            <w:shd w:val="clear" w:color="auto" w:fill="auto"/>
            <w:vAlign w:val="center"/>
            <w:hideMark/>
          </w:tcPr>
          <w:p w14:paraId="13CBA29E" w14:textId="77777777" w:rsidR="00A4213E" w:rsidRPr="00B17B27" w:rsidRDefault="00A4213E" w:rsidP="00B17B27">
            <w:pPr>
              <w:jc w:val="center"/>
              <w:rPr>
                <w:sz w:val="24"/>
                <w:szCs w:val="24"/>
                <w:lang w:val="en-US" w:eastAsia="ja-JP"/>
              </w:rPr>
            </w:pPr>
            <w:r w:rsidRPr="00B17B27">
              <w:rPr>
                <w:sz w:val="24"/>
                <w:szCs w:val="24"/>
                <w:lang w:val="en-US" w:eastAsia="ja-JP"/>
              </w:rPr>
              <w:t> </w:t>
            </w:r>
          </w:p>
        </w:tc>
        <w:tc>
          <w:tcPr>
            <w:tcW w:w="916" w:type="pct"/>
            <w:shd w:val="clear" w:color="auto" w:fill="auto"/>
            <w:vAlign w:val="center"/>
            <w:hideMark/>
          </w:tcPr>
          <w:p w14:paraId="062A46CB" w14:textId="77777777" w:rsidR="00A4213E" w:rsidRPr="00B17B27" w:rsidRDefault="00A4213E" w:rsidP="00B17B27">
            <w:pPr>
              <w:jc w:val="center"/>
              <w:rPr>
                <w:sz w:val="24"/>
                <w:szCs w:val="24"/>
                <w:lang w:val="en-US" w:eastAsia="ja-JP"/>
              </w:rPr>
            </w:pPr>
            <w:r w:rsidRPr="00B17B27">
              <w:rPr>
                <w:sz w:val="24"/>
                <w:szCs w:val="24"/>
                <w:lang w:val="en-US" w:eastAsia="ja-JP"/>
              </w:rPr>
              <w:t> </w:t>
            </w:r>
          </w:p>
        </w:tc>
        <w:tc>
          <w:tcPr>
            <w:tcW w:w="973" w:type="pct"/>
            <w:vMerge/>
            <w:vAlign w:val="center"/>
            <w:hideMark/>
          </w:tcPr>
          <w:p w14:paraId="1EEA807D" w14:textId="77777777" w:rsidR="00A4213E" w:rsidRPr="00B17B27" w:rsidRDefault="00A4213E" w:rsidP="00B17B27">
            <w:pPr>
              <w:jc w:val="left"/>
              <w:rPr>
                <w:sz w:val="24"/>
                <w:szCs w:val="24"/>
                <w:lang w:val="en-US" w:eastAsia="ja-JP"/>
              </w:rPr>
            </w:pPr>
          </w:p>
        </w:tc>
      </w:tr>
      <w:tr w:rsidR="00D22C4A" w:rsidRPr="00E30842" w14:paraId="67BC58B0" w14:textId="77777777" w:rsidTr="007334D3">
        <w:trPr>
          <w:trHeight w:val="405"/>
        </w:trPr>
        <w:tc>
          <w:tcPr>
            <w:tcW w:w="363" w:type="pct"/>
            <w:shd w:val="clear" w:color="000000" w:fill="FFFFFF"/>
            <w:vAlign w:val="center"/>
            <w:hideMark/>
          </w:tcPr>
          <w:p w14:paraId="06053238" w14:textId="77777777" w:rsidR="00D22C4A" w:rsidRPr="00B17B27" w:rsidRDefault="00D22C4A" w:rsidP="00D22C4A">
            <w:pPr>
              <w:jc w:val="center"/>
              <w:rPr>
                <w:sz w:val="24"/>
                <w:szCs w:val="24"/>
                <w:lang w:val="en-US" w:eastAsia="ja-JP"/>
              </w:rPr>
            </w:pPr>
            <w:r w:rsidRPr="00B17B27">
              <w:rPr>
                <w:sz w:val="24"/>
                <w:szCs w:val="24"/>
                <w:lang w:val="en-US" w:eastAsia="ja-JP"/>
              </w:rPr>
              <w:t>-</w:t>
            </w:r>
          </w:p>
        </w:tc>
        <w:tc>
          <w:tcPr>
            <w:tcW w:w="993" w:type="pct"/>
            <w:shd w:val="clear" w:color="000000" w:fill="FFFFFF"/>
            <w:vAlign w:val="center"/>
            <w:hideMark/>
          </w:tcPr>
          <w:p w14:paraId="1064433F" w14:textId="77777777" w:rsidR="00D22C4A" w:rsidRPr="00B17B27" w:rsidRDefault="00D22C4A" w:rsidP="00D22C4A">
            <w:pPr>
              <w:rPr>
                <w:sz w:val="24"/>
                <w:szCs w:val="24"/>
                <w:lang w:val="en-US" w:eastAsia="ja-JP"/>
              </w:rPr>
            </w:pPr>
            <w:r w:rsidRPr="00B17B27">
              <w:rPr>
                <w:sz w:val="24"/>
                <w:szCs w:val="24"/>
                <w:lang w:val="en-US" w:eastAsia="ja-JP"/>
              </w:rPr>
              <w:t xml:space="preserve">Bài nhận xét của Ủy viên phản biện </w:t>
            </w:r>
          </w:p>
        </w:tc>
        <w:tc>
          <w:tcPr>
            <w:tcW w:w="458" w:type="pct"/>
            <w:shd w:val="clear" w:color="auto" w:fill="auto"/>
            <w:vAlign w:val="center"/>
            <w:hideMark/>
          </w:tcPr>
          <w:p w14:paraId="71748480" w14:textId="77777777" w:rsidR="00D22C4A" w:rsidRPr="00B17B27" w:rsidRDefault="00D22C4A" w:rsidP="00D22C4A">
            <w:pPr>
              <w:jc w:val="center"/>
              <w:rPr>
                <w:sz w:val="24"/>
                <w:szCs w:val="24"/>
                <w:lang w:val="en-US" w:eastAsia="ja-JP"/>
              </w:rPr>
            </w:pPr>
            <w:r w:rsidRPr="00B17B27">
              <w:rPr>
                <w:sz w:val="24"/>
                <w:szCs w:val="24"/>
                <w:lang w:val="en-US" w:eastAsia="ja-JP"/>
              </w:rPr>
              <w:t>2</w:t>
            </w:r>
          </w:p>
        </w:tc>
        <w:tc>
          <w:tcPr>
            <w:tcW w:w="763" w:type="pct"/>
            <w:shd w:val="clear" w:color="auto" w:fill="auto"/>
            <w:vAlign w:val="center"/>
            <w:hideMark/>
          </w:tcPr>
          <w:p w14:paraId="1E0C20AE" w14:textId="77777777" w:rsidR="00D22C4A" w:rsidRPr="00B17B27" w:rsidRDefault="00D22C4A" w:rsidP="00D22C4A">
            <w:pPr>
              <w:jc w:val="center"/>
              <w:rPr>
                <w:sz w:val="24"/>
                <w:szCs w:val="24"/>
                <w:lang w:val="en-US" w:eastAsia="ja-JP"/>
              </w:rPr>
            </w:pPr>
            <w:r w:rsidRPr="00B17B27">
              <w:rPr>
                <w:sz w:val="24"/>
                <w:szCs w:val="24"/>
                <w:lang w:val="en-US" w:eastAsia="ja-JP"/>
              </w:rPr>
              <w:t>500.000</w:t>
            </w:r>
          </w:p>
        </w:tc>
        <w:tc>
          <w:tcPr>
            <w:tcW w:w="534" w:type="pct"/>
            <w:shd w:val="clear" w:color="auto" w:fill="auto"/>
            <w:vAlign w:val="center"/>
            <w:hideMark/>
          </w:tcPr>
          <w:p w14:paraId="524E888E" w14:textId="56EE7847" w:rsidR="00D22C4A" w:rsidRPr="00B17B27" w:rsidRDefault="00F37B64" w:rsidP="00D22C4A">
            <w:pPr>
              <w:jc w:val="center"/>
              <w:rPr>
                <w:sz w:val="24"/>
                <w:szCs w:val="24"/>
                <w:lang w:val="en-US" w:eastAsia="ja-JP"/>
              </w:rPr>
            </w:pPr>
            <w:r>
              <w:rPr>
                <w:sz w:val="24"/>
                <w:szCs w:val="24"/>
                <w:lang w:val="en-US" w:eastAsia="ja-JP"/>
              </w:rPr>
              <w:t>60</w:t>
            </w:r>
          </w:p>
        </w:tc>
        <w:tc>
          <w:tcPr>
            <w:tcW w:w="916" w:type="pct"/>
            <w:shd w:val="clear" w:color="auto" w:fill="auto"/>
            <w:vAlign w:val="center"/>
            <w:hideMark/>
          </w:tcPr>
          <w:p w14:paraId="29D98528" w14:textId="4C26EBDF" w:rsidR="00D22C4A" w:rsidRPr="00B17B27" w:rsidRDefault="00F37B64" w:rsidP="00D22C4A">
            <w:pPr>
              <w:jc w:val="center"/>
              <w:rPr>
                <w:sz w:val="24"/>
                <w:szCs w:val="24"/>
                <w:lang w:val="en-US" w:eastAsia="ja-JP"/>
              </w:rPr>
            </w:pPr>
            <w:r>
              <w:rPr>
                <w:sz w:val="24"/>
                <w:szCs w:val="24"/>
                <w:lang w:val="en-US" w:eastAsia="ja-JP"/>
              </w:rPr>
              <w:t>6</w:t>
            </w:r>
            <w:r w:rsidR="00D22C4A">
              <w:rPr>
                <w:sz w:val="24"/>
                <w:szCs w:val="24"/>
                <w:lang w:val="en-US" w:eastAsia="ja-JP"/>
              </w:rPr>
              <w:t>0</w:t>
            </w:r>
            <w:r w:rsidR="00D22C4A" w:rsidRPr="00B17B27">
              <w:rPr>
                <w:sz w:val="24"/>
                <w:szCs w:val="24"/>
                <w:lang w:val="en-US" w:eastAsia="ja-JP"/>
              </w:rPr>
              <w:t>.000.000</w:t>
            </w:r>
          </w:p>
        </w:tc>
        <w:tc>
          <w:tcPr>
            <w:tcW w:w="973" w:type="pct"/>
            <w:vMerge/>
            <w:vAlign w:val="center"/>
            <w:hideMark/>
          </w:tcPr>
          <w:p w14:paraId="18D613A5" w14:textId="77777777" w:rsidR="00D22C4A" w:rsidRPr="00B17B27" w:rsidRDefault="00D22C4A" w:rsidP="00D22C4A">
            <w:pPr>
              <w:jc w:val="left"/>
              <w:rPr>
                <w:sz w:val="24"/>
                <w:szCs w:val="24"/>
                <w:lang w:val="en-US" w:eastAsia="ja-JP"/>
              </w:rPr>
            </w:pPr>
          </w:p>
        </w:tc>
      </w:tr>
      <w:tr w:rsidR="00D22C4A" w:rsidRPr="00E30842" w14:paraId="54392590" w14:textId="77777777" w:rsidTr="007334D3">
        <w:trPr>
          <w:trHeight w:val="510"/>
        </w:trPr>
        <w:tc>
          <w:tcPr>
            <w:tcW w:w="363" w:type="pct"/>
            <w:shd w:val="clear" w:color="000000" w:fill="FFFFFF"/>
            <w:vAlign w:val="center"/>
            <w:hideMark/>
          </w:tcPr>
          <w:p w14:paraId="3FA3372C" w14:textId="77777777" w:rsidR="00D22C4A" w:rsidRPr="00B17B27" w:rsidRDefault="00D22C4A" w:rsidP="00D22C4A">
            <w:pPr>
              <w:jc w:val="center"/>
              <w:rPr>
                <w:sz w:val="24"/>
                <w:szCs w:val="24"/>
                <w:lang w:val="en-US" w:eastAsia="ja-JP"/>
              </w:rPr>
            </w:pPr>
            <w:r w:rsidRPr="00B17B27">
              <w:rPr>
                <w:sz w:val="24"/>
                <w:szCs w:val="24"/>
                <w:lang w:val="en-US" w:eastAsia="ja-JP"/>
              </w:rPr>
              <w:t>-</w:t>
            </w:r>
          </w:p>
        </w:tc>
        <w:tc>
          <w:tcPr>
            <w:tcW w:w="993" w:type="pct"/>
            <w:shd w:val="clear" w:color="000000" w:fill="FFFFFF"/>
            <w:vAlign w:val="center"/>
            <w:hideMark/>
          </w:tcPr>
          <w:p w14:paraId="738867A7" w14:textId="77777777" w:rsidR="00D22C4A" w:rsidRPr="00B17B27" w:rsidRDefault="00D22C4A" w:rsidP="00D22C4A">
            <w:pPr>
              <w:rPr>
                <w:sz w:val="24"/>
                <w:szCs w:val="24"/>
                <w:lang w:val="en-US" w:eastAsia="ja-JP"/>
              </w:rPr>
            </w:pPr>
            <w:r w:rsidRPr="00B17B27">
              <w:rPr>
                <w:sz w:val="24"/>
                <w:szCs w:val="24"/>
                <w:lang w:val="en-US" w:eastAsia="ja-JP"/>
              </w:rPr>
              <w:t>Bài nhận xét của ủy viên, ủy viên thư ký Hội đồng</w:t>
            </w:r>
          </w:p>
        </w:tc>
        <w:tc>
          <w:tcPr>
            <w:tcW w:w="458" w:type="pct"/>
            <w:shd w:val="clear" w:color="auto" w:fill="auto"/>
            <w:vAlign w:val="center"/>
            <w:hideMark/>
          </w:tcPr>
          <w:p w14:paraId="52FD553F" w14:textId="77777777" w:rsidR="00D22C4A" w:rsidRPr="00B17B27" w:rsidRDefault="00D22C4A" w:rsidP="00D22C4A">
            <w:pPr>
              <w:jc w:val="center"/>
              <w:rPr>
                <w:sz w:val="24"/>
                <w:szCs w:val="24"/>
                <w:lang w:val="en-US" w:eastAsia="ja-JP"/>
              </w:rPr>
            </w:pPr>
            <w:r w:rsidRPr="00B17B27">
              <w:rPr>
                <w:sz w:val="24"/>
                <w:szCs w:val="24"/>
                <w:lang w:val="en-US" w:eastAsia="ja-JP"/>
              </w:rPr>
              <w:t>7</w:t>
            </w:r>
          </w:p>
        </w:tc>
        <w:tc>
          <w:tcPr>
            <w:tcW w:w="763" w:type="pct"/>
            <w:shd w:val="clear" w:color="auto" w:fill="auto"/>
            <w:vAlign w:val="center"/>
            <w:hideMark/>
          </w:tcPr>
          <w:p w14:paraId="5BBC3B29" w14:textId="77777777" w:rsidR="00D22C4A" w:rsidRPr="00B17B27" w:rsidRDefault="00D22C4A" w:rsidP="00D22C4A">
            <w:pPr>
              <w:jc w:val="center"/>
              <w:rPr>
                <w:sz w:val="24"/>
                <w:szCs w:val="24"/>
                <w:lang w:val="en-US" w:eastAsia="ja-JP"/>
              </w:rPr>
            </w:pPr>
            <w:r w:rsidRPr="00B17B27">
              <w:rPr>
                <w:sz w:val="24"/>
                <w:szCs w:val="24"/>
                <w:lang w:val="en-US" w:eastAsia="ja-JP"/>
              </w:rPr>
              <w:t>300.000</w:t>
            </w:r>
          </w:p>
        </w:tc>
        <w:tc>
          <w:tcPr>
            <w:tcW w:w="534" w:type="pct"/>
            <w:shd w:val="clear" w:color="auto" w:fill="auto"/>
            <w:vAlign w:val="center"/>
            <w:hideMark/>
          </w:tcPr>
          <w:p w14:paraId="5F367599" w14:textId="07D62431" w:rsidR="00D22C4A" w:rsidRPr="00B17B27" w:rsidRDefault="00F37B64" w:rsidP="00D22C4A">
            <w:pPr>
              <w:jc w:val="center"/>
              <w:rPr>
                <w:sz w:val="24"/>
                <w:szCs w:val="24"/>
                <w:lang w:val="en-US" w:eastAsia="ja-JP"/>
              </w:rPr>
            </w:pPr>
            <w:r>
              <w:rPr>
                <w:sz w:val="24"/>
                <w:szCs w:val="24"/>
                <w:lang w:val="en-US" w:eastAsia="ja-JP"/>
              </w:rPr>
              <w:t>60</w:t>
            </w:r>
          </w:p>
        </w:tc>
        <w:tc>
          <w:tcPr>
            <w:tcW w:w="916" w:type="pct"/>
            <w:shd w:val="clear" w:color="auto" w:fill="auto"/>
            <w:vAlign w:val="center"/>
            <w:hideMark/>
          </w:tcPr>
          <w:p w14:paraId="474A6964" w14:textId="4901D0AA" w:rsidR="00D22C4A" w:rsidRPr="00B17B27" w:rsidRDefault="00F37B64" w:rsidP="00D22C4A">
            <w:pPr>
              <w:jc w:val="center"/>
              <w:rPr>
                <w:sz w:val="24"/>
                <w:szCs w:val="24"/>
                <w:lang w:val="en-US" w:eastAsia="ja-JP"/>
              </w:rPr>
            </w:pPr>
            <w:r>
              <w:rPr>
                <w:sz w:val="24"/>
                <w:szCs w:val="24"/>
                <w:lang w:val="en-US" w:eastAsia="ja-JP"/>
              </w:rPr>
              <w:t>126</w:t>
            </w:r>
            <w:r w:rsidR="00D22C4A">
              <w:rPr>
                <w:sz w:val="24"/>
                <w:szCs w:val="24"/>
                <w:lang w:val="en-US" w:eastAsia="ja-JP"/>
              </w:rPr>
              <w:t>.0</w:t>
            </w:r>
            <w:r w:rsidR="00D22C4A" w:rsidRPr="00B17B27">
              <w:rPr>
                <w:sz w:val="24"/>
                <w:szCs w:val="24"/>
                <w:lang w:val="en-US" w:eastAsia="ja-JP"/>
              </w:rPr>
              <w:t>00.000</w:t>
            </w:r>
          </w:p>
        </w:tc>
        <w:tc>
          <w:tcPr>
            <w:tcW w:w="973" w:type="pct"/>
            <w:vMerge/>
            <w:vAlign w:val="center"/>
            <w:hideMark/>
          </w:tcPr>
          <w:p w14:paraId="0CB9F002" w14:textId="77777777" w:rsidR="00D22C4A" w:rsidRPr="00B17B27" w:rsidRDefault="00D22C4A" w:rsidP="00D22C4A">
            <w:pPr>
              <w:jc w:val="left"/>
              <w:rPr>
                <w:sz w:val="24"/>
                <w:szCs w:val="24"/>
                <w:lang w:val="en-US" w:eastAsia="ja-JP"/>
              </w:rPr>
            </w:pPr>
          </w:p>
        </w:tc>
      </w:tr>
      <w:tr w:rsidR="00D22C4A" w:rsidRPr="00E30842" w14:paraId="41C87CDA" w14:textId="77777777" w:rsidTr="007334D3">
        <w:trPr>
          <w:trHeight w:val="415"/>
        </w:trPr>
        <w:tc>
          <w:tcPr>
            <w:tcW w:w="363" w:type="pct"/>
            <w:shd w:val="clear" w:color="000000" w:fill="FFFFFF"/>
            <w:vAlign w:val="center"/>
            <w:hideMark/>
          </w:tcPr>
          <w:p w14:paraId="2F62DEEE" w14:textId="77777777" w:rsidR="00D22C4A" w:rsidRPr="00B17B27" w:rsidRDefault="00D22C4A" w:rsidP="00D22C4A">
            <w:pPr>
              <w:jc w:val="center"/>
              <w:rPr>
                <w:sz w:val="24"/>
                <w:szCs w:val="24"/>
                <w:lang w:val="en-US" w:eastAsia="ja-JP"/>
              </w:rPr>
            </w:pPr>
            <w:r w:rsidRPr="00B17B27">
              <w:rPr>
                <w:sz w:val="24"/>
                <w:szCs w:val="24"/>
                <w:lang w:val="en-US" w:eastAsia="ja-JP"/>
              </w:rPr>
              <w:t>c</w:t>
            </w:r>
          </w:p>
        </w:tc>
        <w:tc>
          <w:tcPr>
            <w:tcW w:w="993" w:type="pct"/>
            <w:shd w:val="clear" w:color="000000" w:fill="FFFFFF"/>
            <w:vAlign w:val="center"/>
            <w:hideMark/>
          </w:tcPr>
          <w:p w14:paraId="7F0F0D39" w14:textId="235026F9" w:rsidR="00D22C4A" w:rsidRPr="00B17B27" w:rsidRDefault="004D27CB" w:rsidP="00D22C4A">
            <w:pPr>
              <w:rPr>
                <w:sz w:val="24"/>
                <w:szCs w:val="24"/>
                <w:lang w:val="en-US" w:eastAsia="ja-JP"/>
              </w:rPr>
            </w:pPr>
            <w:r w:rsidRPr="004D27CB">
              <w:rPr>
                <w:sz w:val="24"/>
                <w:szCs w:val="24"/>
                <w:lang w:val="en-US" w:eastAsia="ja-JP"/>
              </w:rPr>
              <w:t>Ý kiến nhận xét, đánh giá của chuyên gia, nhà quản lý đối với các báo cáo đã được chủ đầu tư hoàn thiện, chỉnh sửa theo ý kiến của Hội đồng thẩm định</w:t>
            </w:r>
          </w:p>
        </w:tc>
        <w:tc>
          <w:tcPr>
            <w:tcW w:w="458" w:type="pct"/>
            <w:shd w:val="clear" w:color="auto" w:fill="auto"/>
            <w:vAlign w:val="center"/>
            <w:hideMark/>
          </w:tcPr>
          <w:p w14:paraId="7F7B4FD2" w14:textId="7B472462" w:rsidR="00D22C4A" w:rsidRPr="00B17B27" w:rsidRDefault="002C44CE" w:rsidP="00D22C4A">
            <w:pPr>
              <w:jc w:val="center"/>
              <w:rPr>
                <w:sz w:val="24"/>
                <w:szCs w:val="24"/>
                <w:lang w:val="en-US" w:eastAsia="ja-JP"/>
              </w:rPr>
            </w:pPr>
            <w:r>
              <w:rPr>
                <w:sz w:val="24"/>
                <w:szCs w:val="24"/>
                <w:lang w:val="en-US" w:eastAsia="ja-JP"/>
              </w:rPr>
              <w:t>3</w:t>
            </w:r>
          </w:p>
        </w:tc>
        <w:tc>
          <w:tcPr>
            <w:tcW w:w="763" w:type="pct"/>
            <w:shd w:val="clear" w:color="auto" w:fill="auto"/>
            <w:vAlign w:val="center"/>
            <w:hideMark/>
          </w:tcPr>
          <w:p w14:paraId="38B21EE7" w14:textId="77777777" w:rsidR="00D22C4A" w:rsidRPr="00B17B27" w:rsidRDefault="00D22C4A" w:rsidP="00D22C4A">
            <w:pPr>
              <w:jc w:val="center"/>
              <w:rPr>
                <w:sz w:val="24"/>
                <w:szCs w:val="24"/>
                <w:lang w:val="en-US" w:eastAsia="ja-JP"/>
              </w:rPr>
            </w:pPr>
            <w:r w:rsidRPr="00B17B27">
              <w:rPr>
                <w:sz w:val="24"/>
                <w:szCs w:val="24"/>
                <w:lang w:val="en-US" w:eastAsia="ja-JP"/>
              </w:rPr>
              <w:t>400.000</w:t>
            </w:r>
          </w:p>
        </w:tc>
        <w:tc>
          <w:tcPr>
            <w:tcW w:w="534" w:type="pct"/>
            <w:shd w:val="clear" w:color="auto" w:fill="auto"/>
            <w:vAlign w:val="center"/>
            <w:hideMark/>
          </w:tcPr>
          <w:p w14:paraId="24586840" w14:textId="538FDF1C" w:rsidR="00D22C4A" w:rsidRPr="00B17B27" w:rsidRDefault="00F37B64" w:rsidP="00D22C4A">
            <w:pPr>
              <w:jc w:val="center"/>
              <w:rPr>
                <w:sz w:val="24"/>
                <w:szCs w:val="24"/>
                <w:lang w:val="en-US" w:eastAsia="ja-JP"/>
              </w:rPr>
            </w:pPr>
            <w:r>
              <w:rPr>
                <w:sz w:val="24"/>
                <w:szCs w:val="24"/>
                <w:lang w:val="en-US" w:eastAsia="ja-JP"/>
              </w:rPr>
              <w:t>60</w:t>
            </w:r>
          </w:p>
        </w:tc>
        <w:tc>
          <w:tcPr>
            <w:tcW w:w="916" w:type="pct"/>
            <w:shd w:val="clear" w:color="auto" w:fill="auto"/>
            <w:vAlign w:val="center"/>
            <w:hideMark/>
          </w:tcPr>
          <w:p w14:paraId="6EA41B0A" w14:textId="02949DBA" w:rsidR="00D22C4A" w:rsidRPr="00B17B27" w:rsidRDefault="00F37B64" w:rsidP="00D22C4A">
            <w:pPr>
              <w:jc w:val="center"/>
              <w:rPr>
                <w:sz w:val="24"/>
                <w:szCs w:val="24"/>
                <w:lang w:val="en-US" w:eastAsia="ja-JP"/>
              </w:rPr>
            </w:pPr>
            <w:r>
              <w:rPr>
                <w:sz w:val="24"/>
                <w:szCs w:val="24"/>
                <w:lang w:val="en-US" w:eastAsia="ja-JP"/>
              </w:rPr>
              <w:t>72</w:t>
            </w:r>
            <w:r w:rsidR="00D22C4A" w:rsidRPr="00B17B27">
              <w:rPr>
                <w:sz w:val="24"/>
                <w:szCs w:val="24"/>
                <w:lang w:val="en-US" w:eastAsia="ja-JP"/>
              </w:rPr>
              <w:t>.000.000</w:t>
            </w:r>
          </w:p>
        </w:tc>
        <w:tc>
          <w:tcPr>
            <w:tcW w:w="973" w:type="pct"/>
            <w:vMerge/>
            <w:vAlign w:val="center"/>
            <w:hideMark/>
          </w:tcPr>
          <w:p w14:paraId="28AE4CE4" w14:textId="77777777" w:rsidR="00D22C4A" w:rsidRPr="00B17B27" w:rsidRDefault="00D22C4A" w:rsidP="00D22C4A">
            <w:pPr>
              <w:jc w:val="left"/>
              <w:rPr>
                <w:sz w:val="24"/>
                <w:szCs w:val="24"/>
                <w:lang w:val="en-US" w:eastAsia="ja-JP"/>
              </w:rPr>
            </w:pPr>
          </w:p>
        </w:tc>
      </w:tr>
      <w:tr w:rsidR="002C44CE" w:rsidRPr="00E30842" w14:paraId="57B27720" w14:textId="77777777" w:rsidTr="007334D3">
        <w:trPr>
          <w:trHeight w:val="415"/>
        </w:trPr>
        <w:tc>
          <w:tcPr>
            <w:tcW w:w="363" w:type="pct"/>
            <w:shd w:val="clear" w:color="000000" w:fill="FFFFFF"/>
            <w:vAlign w:val="center"/>
          </w:tcPr>
          <w:p w14:paraId="49EA85AC" w14:textId="7490E149" w:rsidR="002C44CE" w:rsidRPr="00B17B27" w:rsidRDefault="002C44CE" w:rsidP="00D22C4A">
            <w:pPr>
              <w:jc w:val="center"/>
              <w:rPr>
                <w:sz w:val="24"/>
                <w:szCs w:val="24"/>
                <w:lang w:val="en-US" w:eastAsia="ja-JP"/>
              </w:rPr>
            </w:pPr>
            <w:r>
              <w:rPr>
                <w:sz w:val="24"/>
                <w:szCs w:val="24"/>
                <w:lang w:val="en-US" w:eastAsia="ja-JP"/>
              </w:rPr>
              <w:t>d</w:t>
            </w:r>
          </w:p>
        </w:tc>
        <w:tc>
          <w:tcPr>
            <w:tcW w:w="993" w:type="pct"/>
            <w:shd w:val="clear" w:color="000000" w:fill="FFFFFF"/>
            <w:vAlign w:val="center"/>
          </w:tcPr>
          <w:p w14:paraId="4516E87B" w14:textId="06BDE81B" w:rsidR="002C44CE" w:rsidRPr="004D27CB" w:rsidRDefault="002C44CE" w:rsidP="00D22C4A">
            <w:pPr>
              <w:rPr>
                <w:sz w:val="24"/>
                <w:szCs w:val="24"/>
                <w:lang w:val="en-US" w:eastAsia="ja-JP"/>
              </w:rPr>
            </w:pPr>
            <w:r w:rsidRPr="002C44CE">
              <w:rPr>
                <w:sz w:val="24"/>
                <w:szCs w:val="24"/>
                <w:lang w:val="en-US" w:eastAsia="ja-JP"/>
              </w:rPr>
              <w:t>Ý kiến nhận xét, đánh giá của chuyên gia, nhà quản lý đối với các báo cáo đã được chủ đầu tư hoàn thiện, chỉnh sửa theo Thông báo kết quả kiểm tra (trong trường hợp không thành lập Hội đồng thẩm định)</w:t>
            </w:r>
          </w:p>
        </w:tc>
        <w:tc>
          <w:tcPr>
            <w:tcW w:w="458" w:type="pct"/>
            <w:shd w:val="clear" w:color="auto" w:fill="auto"/>
            <w:vAlign w:val="center"/>
          </w:tcPr>
          <w:p w14:paraId="1AE19E16" w14:textId="3E7DFBAC" w:rsidR="002C44CE" w:rsidRDefault="002C44CE" w:rsidP="00D22C4A">
            <w:pPr>
              <w:jc w:val="center"/>
              <w:rPr>
                <w:sz w:val="24"/>
                <w:szCs w:val="24"/>
                <w:lang w:val="en-US" w:eastAsia="ja-JP"/>
              </w:rPr>
            </w:pPr>
            <w:r>
              <w:rPr>
                <w:sz w:val="24"/>
                <w:szCs w:val="24"/>
                <w:lang w:val="en-US" w:eastAsia="ja-JP"/>
              </w:rPr>
              <w:t>5</w:t>
            </w:r>
          </w:p>
        </w:tc>
        <w:tc>
          <w:tcPr>
            <w:tcW w:w="763" w:type="pct"/>
            <w:shd w:val="clear" w:color="auto" w:fill="auto"/>
            <w:vAlign w:val="center"/>
          </w:tcPr>
          <w:p w14:paraId="5C7A7EF1" w14:textId="2A8F40DF" w:rsidR="002C44CE" w:rsidRPr="00B17B27" w:rsidRDefault="002C44CE" w:rsidP="00D22C4A">
            <w:pPr>
              <w:jc w:val="center"/>
              <w:rPr>
                <w:sz w:val="24"/>
                <w:szCs w:val="24"/>
                <w:lang w:val="en-US" w:eastAsia="ja-JP"/>
              </w:rPr>
            </w:pPr>
            <w:r>
              <w:rPr>
                <w:sz w:val="24"/>
                <w:szCs w:val="24"/>
                <w:lang w:val="en-US" w:eastAsia="ja-JP"/>
              </w:rPr>
              <w:t>500.000</w:t>
            </w:r>
          </w:p>
        </w:tc>
        <w:tc>
          <w:tcPr>
            <w:tcW w:w="534" w:type="pct"/>
            <w:shd w:val="clear" w:color="auto" w:fill="auto"/>
            <w:vAlign w:val="center"/>
          </w:tcPr>
          <w:p w14:paraId="6264D24B" w14:textId="602801AD" w:rsidR="002C44CE" w:rsidRDefault="00F37B64" w:rsidP="00D22C4A">
            <w:pPr>
              <w:jc w:val="center"/>
              <w:rPr>
                <w:sz w:val="24"/>
                <w:szCs w:val="24"/>
                <w:lang w:val="en-US" w:eastAsia="ja-JP"/>
              </w:rPr>
            </w:pPr>
            <w:r>
              <w:rPr>
                <w:sz w:val="24"/>
                <w:szCs w:val="24"/>
                <w:lang w:val="en-US" w:eastAsia="ja-JP"/>
              </w:rPr>
              <w:t>6</w:t>
            </w:r>
            <w:r w:rsidR="002C44CE">
              <w:rPr>
                <w:sz w:val="24"/>
                <w:szCs w:val="24"/>
                <w:lang w:val="en-US" w:eastAsia="ja-JP"/>
              </w:rPr>
              <w:t>0</w:t>
            </w:r>
          </w:p>
        </w:tc>
        <w:tc>
          <w:tcPr>
            <w:tcW w:w="916" w:type="pct"/>
            <w:shd w:val="clear" w:color="auto" w:fill="auto"/>
            <w:vAlign w:val="center"/>
          </w:tcPr>
          <w:p w14:paraId="50E472EB" w14:textId="024330D2" w:rsidR="002C44CE" w:rsidRDefault="00F37B64" w:rsidP="00D22C4A">
            <w:pPr>
              <w:jc w:val="center"/>
              <w:rPr>
                <w:sz w:val="24"/>
                <w:szCs w:val="24"/>
                <w:lang w:val="en-US" w:eastAsia="ja-JP"/>
              </w:rPr>
            </w:pPr>
            <w:r>
              <w:rPr>
                <w:sz w:val="24"/>
                <w:szCs w:val="24"/>
                <w:lang w:val="en-US" w:eastAsia="ja-JP"/>
              </w:rPr>
              <w:t>150</w:t>
            </w:r>
            <w:r w:rsidR="002C44CE">
              <w:rPr>
                <w:sz w:val="24"/>
                <w:szCs w:val="24"/>
                <w:lang w:val="en-US" w:eastAsia="ja-JP"/>
              </w:rPr>
              <w:t>.000.000</w:t>
            </w:r>
          </w:p>
        </w:tc>
        <w:tc>
          <w:tcPr>
            <w:tcW w:w="973" w:type="pct"/>
            <w:vAlign w:val="center"/>
          </w:tcPr>
          <w:p w14:paraId="67197BE2" w14:textId="77777777" w:rsidR="002C44CE" w:rsidRPr="00B17B27" w:rsidRDefault="002C44CE" w:rsidP="00D22C4A">
            <w:pPr>
              <w:jc w:val="left"/>
              <w:rPr>
                <w:sz w:val="24"/>
                <w:szCs w:val="24"/>
                <w:lang w:val="en-US" w:eastAsia="ja-JP"/>
              </w:rPr>
            </w:pPr>
          </w:p>
        </w:tc>
      </w:tr>
      <w:tr w:rsidR="00D22C4A" w:rsidRPr="00E30842" w14:paraId="27C6049B" w14:textId="77777777" w:rsidTr="00FE469A">
        <w:trPr>
          <w:trHeight w:val="1125"/>
        </w:trPr>
        <w:tc>
          <w:tcPr>
            <w:tcW w:w="363" w:type="pct"/>
            <w:shd w:val="clear" w:color="000000" w:fill="FFFFFF"/>
            <w:vAlign w:val="center"/>
            <w:hideMark/>
          </w:tcPr>
          <w:p w14:paraId="436A8F9C" w14:textId="3245FE09" w:rsidR="00D22C4A" w:rsidRPr="00B17B27" w:rsidRDefault="00FE469A" w:rsidP="00D22C4A">
            <w:pPr>
              <w:jc w:val="center"/>
              <w:rPr>
                <w:b/>
                <w:bCs/>
                <w:sz w:val="24"/>
                <w:szCs w:val="24"/>
                <w:lang w:val="en-US" w:eastAsia="ja-JP"/>
              </w:rPr>
            </w:pPr>
            <w:r>
              <w:rPr>
                <w:b/>
                <w:bCs/>
                <w:sz w:val="24"/>
                <w:szCs w:val="24"/>
                <w:lang w:val="en-US" w:eastAsia="ja-JP"/>
              </w:rPr>
              <w:t>3</w:t>
            </w:r>
          </w:p>
        </w:tc>
        <w:tc>
          <w:tcPr>
            <w:tcW w:w="993" w:type="pct"/>
            <w:shd w:val="clear" w:color="000000" w:fill="FFFFFF"/>
            <w:vAlign w:val="center"/>
            <w:hideMark/>
          </w:tcPr>
          <w:p w14:paraId="6A143A65" w14:textId="27C88DD1" w:rsidR="00D22C4A" w:rsidRPr="00B17B27" w:rsidRDefault="00D22C4A" w:rsidP="00D22C4A">
            <w:pPr>
              <w:rPr>
                <w:sz w:val="24"/>
                <w:szCs w:val="24"/>
                <w:lang w:val="en-US" w:eastAsia="ja-JP"/>
              </w:rPr>
            </w:pPr>
            <w:r w:rsidRPr="00B17B27">
              <w:rPr>
                <w:b/>
                <w:bCs/>
                <w:sz w:val="24"/>
                <w:szCs w:val="24"/>
                <w:lang w:val="en-US" w:eastAsia="ja-JP"/>
              </w:rPr>
              <w:t>Các chi phí liên quan</w:t>
            </w:r>
            <w:r w:rsidRPr="00B17B27">
              <w:rPr>
                <w:sz w:val="24"/>
                <w:szCs w:val="24"/>
                <w:lang w:val="en-US" w:eastAsia="ja-JP"/>
              </w:rPr>
              <w:t xml:space="preserve"> (photo tài liệu, văn phòng phẩm, nước uống, </w:t>
            </w:r>
            <w:r>
              <w:rPr>
                <w:sz w:val="24"/>
                <w:szCs w:val="24"/>
                <w:lang w:val="en-US" w:eastAsia="ja-JP"/>
              </w:rPr>
              <w:t xml:space="preserve">thuê xe khảo sát thực tế, </w:t>
            </w:r>
            <w:r w:rsidRPr="00B17B27">
              <w:rPr>
                <w:sz w:val="24"/>
                <w:szCs w:val="24"/>
                <w:lang w:val="en-US" w:eastAsia="ja-JP"/>
              </w:rPr>
              <w:t>thông tin liên lạc, công tác phí (nếu có)…)</w:t>
            </w:r>
          </w:p>
        </w:tc>
        <w:tc>
          <w:tcPr>
            <w:tcW w:w="458" w:type="pct"/>
            <w:shd w:val="clear" w:color="000000" w:fill="FFFFFF"/>
            <w:vAlign w:val="center"/>
            <w:hideMark/>
          </w:tcPr>
          <w:p w14:paraId="25113605" w14:textId="77777777" w:rsidR="00D22C4A" w:rsidRPr="00B17B27" w:rsidRDefault="00D22C4A" w:rsidP="00D22C4A">
            <w:pPr>
              <w:jc w:val="center"/>
              <w:rPr>
                <w:sz w:val="24"/>
                <w:szCs w:val="24"/>
                <w:lang w:val="en-US" w:eastAsia="ja-JP"/>
              </w:rPr>
            </w:pPr>
            <w:r w:rsidRPr="00B17B27">
              <w:rPr>
                <w:sz w:val="24"/>
                <w:szCs w:val="24"/>
                <w:lang w:val="en-US" w:eastAsia="ja-JP"/>
              </w:rPr>
              <w:t> </w:t>
            </w:r>
          </w:p>
        </w:tc>
        <w:tc>
          <w:tcPr>
            <w:tcW w:w="763" w:type="pct"/>
            <w:shd w:val="clear" w:color="000000" w:fill="FFFFFF"/>
            <w:vAlign w:val="center"/>
          </w:tcPr>
          <w:p w14:paraId="205224ED" w14:textId="2F045E59" w:rsidR="00D22C4A" w:rsidRPr="00B17B27" w:rsidRDefault="00D22C4A" w:rsidP="00D22C4A">
            <w:pPr>
              <w:jc w:val="center"/>
              <w:rPr>
                <w:sz w:val="24"/>
                <w:szCs w:val="24"/>
                <w:lang w:val="en-US" w:eastAsia="ja-JP"/>
              </w:rPr>
            </w:pPr>
          </w:p>
        </w:tc>
        <w:tc>
          <w:tcPr>
            <w:tcW w:w="534" w:type="pct"/>
            <w:shd w:val="clear" w:color="000000" w:fill="FFFFFF"/>
            <w:vAlign w:val="center"/>
          </w:tcPr>
          <w:p w14:paraId="0A5F5A0A" w14:textId="422F6361" w:rsidR="00D22C4A" w:rsidRPr="00B17B27" w:rsidRDefault="00D22C4A" w:rsidP="00D22C4A">
            <w:pPr>
              <w:jc w:val="center"/>
              <w:rPr>
                <w:sz w:val="24"/>
                <w:szCs w:val="24"/>
                <w:lang w:val="en-US" w:eastAsia="ja-JP"/>
              </w:rPr>
            </w:pPr>
          </w:p>
        </w:tc>
        <w:tc>
          <w:tcPr>
            <w:tcW w:w="916" w:type="pct"/>
            <w:shd w:val="clear" w:color="000000" w:fill="FFFFFF"/>
            <w:vAlign w:val="center"/>
            <w:hideMark/>
          </w:tcPr>
          <w:p w14:paraId="070DDF1E" w14:textId="57F6F4FF" w:rsidR="00D22C4A" w:rsidRPr="00B17B27" w:rsidRDefault="00CD33F7" w:rsidP="00D22C4A">
            <w:pPr>
              <w:jc w:val="center"/>
              <w:rPr>
                <w:b/>
                <w:bCs/>
                <w:sz w:val="24"/>
                <w:szCs w:val="24"/>
                <w:lang w:val="en-US" w:eastAsia="ja-JP"/>
              </w:rPr>
            </w:pPr>
            <w:r>
              <w:rPr>
                <w:b/>
                <w:bCs/>
                <w:sz w:val="24"/>
                <w:szCs w:val="24"/>
                <w:lang w:val="en-US" w:eastAsia="ja-JP"/>
              </w:rPr>
              <w:t>310</w:t>
            </w:r>
            <w:r w:rsidR="00D22C4A" w:rsidRPr="00B17B27">
              <w:rPr>
                <w:b/>
                <w:bCs/>
                <w:sz w:val="24"/>
                <w:szCs w:val="24"/>
                <w:lang w:val="en-US" w:eastAsia="ja-JP"/>
              </w:rPr>
              <w:t>.000.000</w:t>
            </w:r>
          </w:p>
        </w:tc>
        <w:tc>
          <w:tcPr>
            <w:tcW w:w="973" w:type="pct"/>
            <w:shd w:val="clear" w:color="000000" w:fill="FFFFFF"/>
            <w:vAlign w:val="center"/>
            <w:hideMark/>
          </w:tcPr>
          <w:p w14:paraId="3A353F31" w14:textId="77777777" w:rsidR="00D22C4A" w:rsidRPr="00B17B27" w:rsidRDefault="00D22C4A" w:rsidP="00D22C4A">
            <w:pPr>
              <w:jc w:val="center"/>
              <w:rPr>
                <w:sz w:val="24"/>
                <w:szCs w:val="24"/>
                <w:lang w:val="en-US" w:eastAsia="ja-JP"/>
              </w:rPr>
            </w:pPr>
            <w:r>
              <w:rPr>
                <w:sz w:val="24"/>
                <w:szCs w:val="24"/>
                <w:lang w:val="en-US" w:eastAsia="ja-JP"/>
              </w:rPr>
              <w:t>Thực tế</w:t>
            </w:r>
          </w:p>
        </w:tc>
      </w:tr>
    </w:tbl>
    <w:p w14:paraId="72AB84EC" w14:textId="77777777" w:rsidR="003D57C3" w:rsidRPr="00611934" w:rsidRDefault="00882839" w:rsidP="00312AB6">
      <w:pPr>
        <w:widowControl w:val="0"/>
        <w:spacing w:before="120" w:after="120"/>
        <w:ind w:firstLine="567"/>
        <w:rPr>
          <w:b/>
          <w:color w:val="000000" w:themeColor="text1"/>
        </w:rPr>
      </w:pPr>
      <w:r>
        <w:rPr>
          <w:b/>
          <w:color w:val="000000" w:themeColor="text1"/>
        </w:rPr>
        <w:t xml:space="preserve">2. </w:t>
      </w:r>
      <w:r w:rsidR="00243F28" w:rsidRPr="00611934">
        <w:rPr>
          <w:b/>
          <w:color w:val="000000" w:themeColor="text1"/>
        </w:rPr>
        <w:t>T</w:t>
      </w:r>
      <w:r w:rsidR="003730AD">
        <w:rPr>
          <w:b/>
          <w:color w:val="000000" w:themeColor="text1"/>
        </w:rPr>
        <w:t>ỷ</w:t>
      </w:r>
      <w:r w:rsidR="00243F28" w:rsidRPr="00611934">
        <w:rPr>
          <w:b/>
          <w:color w:val="000000" w:themeColor="text1"/>
        </w:rPr>
        <w:t xml:space="preserve"> lệ để lại</w:t>
      </w:r>
    </w:p>
    <w:p w14:paraId="3917510A" w14:textId="77777777" w:rsidR="003D57C3" w:rsidRPr="00A01832" w:rsidRDefault="00243F28" w:rsidP="00312AB6">
      <w:pPr>
        <w:widowControl w:val="0"/>
        <w:spacing w:before="120" w:after="120"/>
        <w:ind w:firstLine="567"/>
        <w:rPr>
          <w:color w:val="000000" w:themeColor="text1"/>
        </w:rPr>
      </w:pPr>
      <w:r w:rsidRPr="00A01832">
        <w:rPr>
          <w:color w:val="000000" w:themeColor="text1"/>
        </w:rPr>
        <w:t xml:space="preserve">Tỷ lệ để lại chi phí cho các hoạt động cung cấp dịch vụ, thu phí được tính </w:t>
      </w:r>
      <w:r w:rsidRPr="00A01832">
        <w:rPr>
          <w:color w:val="000000" w:themeColor="text1"/>
        </w:rPr>
        <w:lastRenderedPageBreak/>
        <w:t xml:space="preserve">toán căn cứ tại </w:t>
      </w:r>
      <w:r w:rsidR="003730AD">
        <w:rPr>
          <w:color w:val="000000" w:themeColor="text1"/>
        </w:rPr>
        <w:t>k</w:t>
      </w:r>
      <w:r w:rsidRPr="00A01832">
        <w:rPr>
          <w:color w:val="000000" w:themeColor="text1"/>
        </w:rPr>
        <w:t xml:space="preserve">hoản 1 Điều 5 Nghị định số 120/2016/NĐ-CP ngày 23 tháng 8 năm 2016 của Chính phủ thì tỷ lệ để lại </w:t>
      </w:r>
      <w:r w:rsidR="003730AD">
        <w:rPr>
          <w:color w:val="000000" w:themeColor="text1"/>
        </w:rPr>
        <w:t xml:space="preserve">(%) </w:t>
      </w:r>
      <w:r w:rsidRPr="00A01832">
        <w:rPr>
          <w:color w:val="000000" w:themeColor="text1"/>
        </w:rPr>
        <w:t>được xác định theo công thức:</w:t>
      </w:r>
    </w:p>
    <w:p w14:paraId="4E8CB77C" w14:textId="77777777" w:rsidR="003D57C3" w:rsidRPr="002C1EDF" w:rsidRDefault="00243F28" w:rsidP="00312AB6">
      <w:pPr>
        <w:widowControl w:val="0"/>
        <w:spacing w:before="120" w:after="120"/>
        <w:ind w:firstLine="567"/>
        <w:rPr>
          <w:color w:val="000000" w:themeColor="text1"/>
          <w:spacing w:val="-2"/>
        </w:rPr>
      </w:pPr>
      <w:r w:rsidRPr="002C1EDF">
        <w:rPr>
          <w:color w:val="000000" w:themeColor="text1"/>
          <w:spacing w:val="-2"/>
        </w:rPr>
        <w:t xml:space="preserve">- Số tiền phí được khấu trừ hoặc để lại = Số tiền phí thu được </w:t>
      </w:r>
      <w:r w:rsidR="00C025A8" w:rsidRPr="002C1EDF">
        <w:rPr>
          <w:color w:val="000000" w:themeColor="text1"/>
          <w:spacing w:val="-2"/>
        </w:rPr>
        <w:t>×</w:t>
      </w:r>
      <w:r w:rsidRPr="002C1EDF">
        <w:rPr>
          <w:color w:val="000000" w:themeColor="text1"/>
          <w:spacing w:val="-2"/>
        </w:rPr>
        <w:t xml:space="preserve"> Tỷ lệ để lại.</w:t>
      </w:r>
    </w:p>
    <w:p w14:paraId="0767FB7F" w14:textId="77777777" w:rsidR="003D57C3" w:rsidRPr="00A01832" w:rsidRDefault="00243F28" w:rsidP="00312AB6">
      <w:pPr>
        <w:widowControl w:val="0"/>
        <w:spacing w:before="120" w:after="120"/>
        <w:ind w:firstLine="567"/>
        <w:rPr>
          <w:color w:val="000000" w:themeColor="text1"/>
        </w:rPr>
      </w:pPr>
      <w:r w:rsidRPr="00A01832">
        <w:rPr>
          <w:color w:val="000000" w:themeColor="text1"/>
        </w:rPr>
        <w:t>- Tỷ lệ để lại được xác định như sau:</w:t>
      </w:r>
    </w:p>
    <w:tbl>
      <w:tblPr>
        <w:tblStyle w:val="a1"/>
        <w:tblW w:w="9783" w:type="dxa"/>
        <w:tblInd w:w="-710" w:type="dxa"/>
        <w:tblLayout w:type="fixed"/>
        <w:tblLook w:val="0400" w:firstRow="0" w:lastRow="0" w:firstColumn="0" w:lastColumn="0" w:noHBand="0" w:noVBand="1"/>
      </w:tblPr>
      <w:tblGrid>
        <w:gridCol w:w="2209"/>
        <w:gridCol w:w="1122"/>
        <w:gridCol w:w="5231"/>
        <w:gridCol w:w="1221"/>
      </w:tblGrid>
      <w:tr w:rsidR="004C0F09" w:rsidRPr="00A01832" w14:paraId="6B80043C" w14:textId="77777777" w:rsidTr="00A01832">
        <w:trPr>
          <w:trHeight w:val="987"/>
        </w:trPr>
        <w:tc>
          <w:tcPr>
            <w:tcW w:w="2209" w:type="dxa"/>
            <w:vMerge w:val="restart"/>
            <w:shd w:val="clear" w:color="auto" w:fill="auto"/>
            <w:tcMar>
              <w:top w:w="0" w:type="dxa"/>
              <w:left w:w="108" w:type="dxa"/>
              <w:bottom w:w="0" w:type="dxa"/>
              <w:right w:w="108" w:type="dxa"/>
            </w:tcMar>
            <w:vAlign w:val="center"/>
          </w:tcPr>
          <w:p w14:paraId="3B27FCBF" w14:textId="77777777" w:rsidR="003D57C3" w:rsidRPr="00A01832" w:rsidRDefault="003D57C3" w:rsidP="00516A6E">
            <w:pPr>
              <w:spacing w:before="120" w:line="276" w:lineRule="auto"/>
              <w:ind w:firstLine="567"/>
              <w:rPr>
                <w:color w:val="000000" w:themeColor="text1"/>
              </w:rPr>
            </w:pPr>
          </w:p>
          <w:p w14:paraId="0817FB6A" w14:textId="77777777" w:rsidR="00C025A8" w:rsidRDefault="00243F28" w:rsidP="00C025A8">
            <w:pPr>
              <w:spacing w:before="120" w:line="276" w:lineRule="auto"/>
              <w:ind w:firstLine="567"/>
              <w:jc w:val="center"/>
              <w:rPr>
                <w:color w:val="000000" w:themeColor="text1"/>
                <w:lang w:val="en-US"/>
              </w:rPr>
            </w:pPr>
            <w:r w:rsidRPr="00A01832">
              <w:rPr>
                <w:color w:val="000000" w:themeColor="text1"/>
              </w:rPr>
              <w:t>Tỷ lệ để</w:t>
            </w:r>
            <w:r w:rsidR="00516A6E" w:rsidRPr="00A01832">
              <w:rPr>
                <w:color w:val="000000" w:themeColor="text1"/>
              </w:rPr>
              <w:t xml:space="preserve"> lại</w:t>
            </w:r>
          </w:p>
          <w:p w14:paraId="1B14C4B0" w14:textId="77777777" w:rsidR="003D57C3" w:rsidRPr="00A01832" w:rsidRDefault="00516A6E" w:rsidP="00C025A8">
            <w:pPr>
              <w:spacing w:line="276" w:lineRule="auto"/>
              <w:ind w:firstLine="567"/>
              <w:jc w:val="center"/>
              <w:rPr>
                <w:color w:val="000000" w:themeColor="text1"/>
              </w:rPr>
            </w:pPr>
            <w:r w:rsidRPr="00A01832">
              <w:rPr>
                <w:color w:val="000000" w:themeColor="text1"/>
              </w:rPr>
              <w:t>(%)</w:t>
            </w:r>
          </w:p>
          <w:p w14:paraId="06CA49BD" w14:textId="77777777" w:rsidR="003D57C3" w:rsidRPr="00A01832" w:rsidRDefault="003D57C3" w:rsidP="003730AD">
            <w:pPr>
              <w:spacing w:before="120" w:line="276" w:lineRule="auto"/>
              <w:ind w:right="1960" w:firstLine="567"/>
              <w:jc w:val="right"/>
              <w:rPr>
                <w:color w:val="000000" w:themeColor="text1"/>
              </w:rPr>
            </w:pPr>
          </w:p>
        </w:tc>
        <w:tc>
          <w:tcPr>
            <w:tcW w:w="1122" w:type="dxa"/>
            <w:vMerge w:val="restart"/>
            <w:shd w:val="clear" w:color="auto" w:fill="auto"/>
            <w:tcMar>
              <w:top w:w="0" w:type="dxa"/>
              <w:left w:w="108" w:type="dxa"/>
              <w:bottom w:w="0" w:type="dxa"/>
              <w:right w:w="108" w:type="dxa"/>
            </w:tcMar>
            <w:vAlign w:val="center"/>
          </w:tcPr>
          <w:p w14:paraId="197B9B2C" w14:textId="77777777" w:rsidR="003D57C3" w:rsidRPr="00A01832" w:rsidRDefault="003D57C3" w:rsidP="00516A6E">
            <w:pPr>
              <w:spacing w:before="120" w:line="276" w:lineRule="auto"/>
              <w:ind w:firstLine="567"/>
              <w:rPr>
                <w:color w:val="000000" w:themeColor="text1"/>
              </w:rPr>
            </w:pPr>
          </w:p>
          <w:p w14:paraId="35FCB3B6" w14:textId="77777777" w:rsidR="003D57C3" w:rsidRPr="00A01832" w:rsidRDefault="00243F28" w:rsidP="00516A6E">
            <w:pPr>
              <w:spacing w:before="120" w:line="276" w:lineRule="auto"/>
              <w:ind w:firstLine="567"/>
              <w:rPr>
                <w:color w:val="000000" w:themeColor="text1"/>
              </w:rPr>
            </w:pPr>
            <w:r w:rsidRPr="00A01832">
              <w:rPr>
                <w:color w:val="000000" w:themeColor="text1"/>
              </w:rPr>
              <w:t>=</w:t>
            </w:r>
          </w:p>
        </w:tc>
        <w:tc>
          <w:tcPr>
            <w:tcW w:w="5231" w:type="dxa"/>
            <w:tcBorders>
              <w:bottom w:val="single" w:sz="4" w:space="0" w:color="auto"/>
            </w:tcBorders>
            <w:shd w:val="clear" w:color="auto" w:fill="auto"/>
            <w:tcMar>
              <w:top w:w="0" w:type="dxa"/>
              <w:left w:w="108" w:type="dxa"/>
              <w:bottom w:w="0" w:type="dxa"/>
              <w:right w:w="108" w:type="dxa"/>
            </w:tcMar>
            <w:vAlign w:val="center"/>
          </w:tcPr>
          <w:p w14:paraId="3A8726F5" w14:textId="77777777" w:rsidR="003D57C3" w:rsidRPr="00A01832" w:rsidRDefault="00243F28" w:rsidP="00516A6E">
            <w:pPr>
              <w:spacing w:before="120" w:line="276" w:lineRule="auto"/>
              <w:ind w:firstLine="567"/>
              <w:jc w:val="center"/>
              <w:rPr>
                <w:color w:val="000000" w:themeColor="text1"/>
              </w:rPr>
            </w:pPr>
            <w:r w:rsidRPr="00A01832">
              <w:rPr>
                <w:color w:val="000000" w:themeColor="text1"/>
              </w:rPr>
              <w:t>Dự toán cả năm về chi phí cần thiết cho</w:t>
            </w:r>
            <w:r w:rsidR="00A01832" w:rsidRPr="008E49D0">
              <w:rPr>
                <w:color w:val="000000" w:themeColor="text1"/>
              </w:rPr>
              <w:t xml:space="preserve"> </w:t>
            </w:r>
            <w:r w:rsidRPr="00A01832">
              <w:rPr>
                <w:color w:val="000000" w:themeColor="text1"/>
              </w:rPr>
              <w:t>các hoạt động cung cấp dịch vụ, thu phí</w:t>
            </w:r>
          </w:p>
        </w:tc>
        <w:tc>
          <w:tcPr>
            <w:tcW w:w="1221" w:type="dxa"/>
            <w:vMerge w:val="restart"/>
            <w:shd w:val="clear" w:color="auto" w:fill="auto"/>
            <w:tcMar>
              <w:top w:w="0" w:type="dxa"/>
              <w:left w:w="108" w:type="dxa"/>
              <w:bottom w:w="0" w:type="dxa"/>
              <w:right w:w="108" w:type="dxa"/>
            </w:tcMar>
            <w:vAlign w:val="center"/>
          </w:tcPr>
          <w:p w14:paraId="6DEE56AC" w14:textId="77777777" w:rsidR="003D57C3" w:rsidRPr="00A01832" w:rsidRDefault="00243F28" w:rsidP="00516A6E">
            <w:pPr>
              <w:spacing w:before="120" w:line="276" w:lineRule="auto"/>
              <w:ind w:firstLine="567"/>
              <w:rPr>
                <w:color w:val="000000" w:themeColor="text1"/>
              </w:rPr>
            </w:pPr>
            <w:r w:rsidRPr="00A01832">
              <w:rPr>
                <w:b/>
                <w:color w:val="000000" w:themeColor="text1"/>
              </w:rPr>
              <w:t xml:space="preserve">      </w:t>
            </w:r>
            <w:r w:rsidR="00C025A8">
              <w:rPr>
                <w:color w:val="000000" w:themeColor="text1"/>
              </w:rPr>
              <w:t>×</w:t>
            </w:r>
            <w:r w:rsidR="003730AD">
              <w:rPr>
                <w:color w:val="000000" w:themeColor="text1"/>
              </w:rPr>
              <w:t xml:space="preserve"> </w:t>
            </w:r>
            <w:r w:rsidRPr="00A01832">
              <w:rPr>
                <w:color w:val="000000" w:themeColor="text1"/>
              </w:rPr>
              <w:t>100</w:t>
            </w:r>
          </w:p>
        </w:tc>
      </w:tr>
      <w:tr w:rsidR="004C0F09" w:rsidRPr="00A01832" w14:paraId="1D792227" w14:textId="77777777" w:rsidTr="00A01832">
        <w:trPr>
          <w:trHeight w:val="131"/>
        </w:trPr>
        <w:tc>
          <w:tcPr>
            <w:tcW w:w="2209" w:type="dxa"/>
            <w:vMerge/>
            <w:shd w:val="clear" w:color="auto" w:fill="auto"/>
            <w:tcMar>
              <w:top w:w="0" w:type="dxa"/>
              <w:left w:w="108" w:type="dxa"/>
              <w:bottom w:w="0" w:type="dxa"/>
              <w:right w:w="108" w:type="dxa"/>
            </w:tcMar>
            <w:vAlign w:val="center"/>
          </w:tcPr>
          <w:p w14:paraId="292F6676" w14:textId="77777777" w:rsidR="003D57C3" w:rsidRPr="00A01832" w:rsidRDefault="003D57C3" w:rsidP="00516A6E">
            <w:pPr>
              <w:widowControl w:val="0"/>
              <w:pBdr>
                <w:top w:val="nil"/>
                <w:left w:val="nil"/>
                <w:bottom w:val="nil"/>
                <w:right w:val="nil"/>
                <w:between w:val="nil"/>
              </w:pBdr>
              <w:spacing w:line="276" w:lineRule="auto"/>
              <w:ind w:firstLine="567"/>
              <w:jc w:val="left"/>
              <w:rPr>
                <w:color w:val="000000" w:themeColor="text1"/>
              </w:rPr>
            </w:pPr>
          </w:p>
        </w:tc>
        <w:tc>
          <w:tcPr>
            <w:tcW w:w="1122" w:type="dxa"/>
            <w:vMerge/>
            <w:shd w:val="clear" w:color="auto" w:fill="auto"/>
            <w:tcMar>
              <w:top w:w="0" w:type="dxa"/>
              <w:left w:w="108" w:type="dxa"/>
              <w:bottom w:w="0" w:type="dxa"/>
              <w:right w:w="108" w:type="dxa"/>
            </w:tcMar>
            <w:vAlign w:val="center"/>
          </w:tcPr>
          <w:p w14:paraId="1A7A8FAA" w14:textId="77777777" w:rsidR="003D57C3" w:rsidRPr="00A01832" w:rsidRDefault="003D57C3" w:rsidP="00516A6E">
            <w:pPr>
              <w:widowControl w:val="0"/>
              <w:pBdr>
                <w:top w:val="nil"/>
                <w:left w:val="nil"/>
                <w:bottom w:val="nil"/>
                <w:right w:val="nil"/>
                <w:between w:val="nil"/>
              </w:pBdr>
              <w:spacing w:line="276" w:lineRule="auto"/>
              <w:ind w:firstLine="567"/>
              <w:jc w:val="left"/>
              <w:rPr>
                <w:color w:val="000000" w:themeColor="text1"/>
              </w:rPr>
            </w:pPr>
          </w:p>
        </w:tc>
        <w:tc>
          <w:tcPr>
            <w:tcW w:w="5231" w:type="dxa"/>
            <w:tcBorders>
              <w:top w:val="single" w:sz="4" w:space="0" w:color="auto"/>
            </w:tcBorders>
            <w:shd w:val="clear" w:color="auto" w:fill="auto"/>
            <w:tcMar>
              <w:top w:w="0" w:type="dxa"/>
              <w:left w:w="108" w:type="dxa"/>
              <w:bottom w:w="0" w:type="dxa"/>
              <w:right w:w="108" w:type="dxa"/>
            </w:tcMar>
            <w:vAlign w:val="center"/>
          </w:tcPr>
          <w:p w14:paraId="6AE63B95" w14:textId="77777777" w:rsidR="003D57C3" w:rsidRPr="00A01832" w:rsidRDefault="00243F28" w:rsidP="00516A6E">
            <w:pPr>
              <w:spacing w:before="120" w:line="276" w:lineRule="auto"/>
              <w:ind w:firstLine="567"/>
              <w:jc w:val="center"/>
              <w:rPr>
                <w:color w:val="000000" w:themeColor="text1"/>
              </w:rPr>
            </w:pPr>
            <w:r w:rsidRPr="00A01832">
              <w:rPr>
                <w:color w:val="000000" w:themeColor="text1"/>
              </w:rPr>
              <w:t>Dự toán cả năm về phí thu được</w:t>
            </w:r>
          </w:p>
        </w:tc>
        <w:tc>
          <w:tcPr>
            <w:tcW w:w="1221" w:type="dxa"/>
            <w:vMerge/>
            <w:shd w:val="clear" w:color="auto" w:fill="auto"/>
            <w:tcMar>
              <w:top w:w="0" w:type="dxa"/>
              <w:left w:w="108" w:type="dxa"/>
              <w:bottom w:w="0" w:type="dxa"/>
              <w:right w:w="108" w:type="dxa"/>
            </w:tcMar>
            <w:vAlign w:val="center"/>
          </w:tcPr>
          <w:p w14:paraId="1D88A044" w14:textId="77777777" w:rsidR="003D57C3" w:rsidRPr="00A01832" w:rsidRDefault="003D57C3" w:rsidP="00516A6E">
            <w:pPr>
              <w:widowControl w:val="0"/>
              <w:pBdr>
                <w:top w:val="nil"/>
                <w:left w:val="nil"/>
                <w:bottom w:val="nil"/>
                <w:right w:val="nil"/>
                <w:between w:val="nil"/>
              </w:pBdr>
              <w:spacing w:line="276" w:lineRule="auto"/>
              <w:ind w:firstLine="567"/>
              <w:jc w:val="left"/>
              <w:rPr>
                <w:color w:val="000000" w:themeColor="text1"/>
              </w:rPr>
            </w:pPr>
          </w:p>
        </w:tc>
      </w:tr>
    </w:tbl>
    <w:p w14:paraId="4B1FF6A7" w14:textId="77777777" w:rsidR="00A01832" w:rsidRPr="008E49D0" w:rsidRDefault="00A01832" w:rsidP="003730AD">
      <w:pPr>
        <w:spacing w:before="120" w:line="276" w:lineRule="auto"/>
        <w:rPr>
          <w:color w:val="000000" w:themeColor="text1"/>
          <w:sz w:val="12"/>
        </w:rPr>
      </w:pPr>
    </w:p>
    <w:p w14:paraId="24463F42" w14:textId="77777777" w:rsidR="003D57C3" w:rsidRPr="00A01832" w:rsidRDefault="00243F28" w:rsidP="00312AB6">
      <w:pPr>
        <w:spacing w:before="120" w:after="120" w:line="276" w:lineRule="auto"/>
        <w:ind w:firstLine="567"/>
        <w:rPr>
          <w:color w:val="000000" w:themeColor="text1"/>
        </w:rPr>
      </w:pPr>
      <w:r w:rsidRPr="00A01832">
        <w:rPr>
          <w:color w:val="000000" w:themeColor="text1"/>
        </w:rPr>
        <w:t>Trong đó:</w:t>
      </w:r>
    </w:p>
    <w:p w14:paraId="35F5919B" w14:textId="77777777" w:rsidR="003D57C3" w:rsidRPr="00A01832" w:rsidRDefault="00243F28" w:rsidP="00312AB6">
      <w:pPr>
        <w:spacing w:before="120" w:after="120" w:line="276" w:lineRule="auto"/>
        <w:ind w:firstLine="567"/>
        <w:rPr>
          <w:color w:val="000000" w:themeColor="text1"/>
        </w:rPr>
      </w:pPr>
      <w:r w:rsidRPr="00A01832">
        <w:rPr>
          <w:color w:val="000000" w:themeColor="text1"/>
        </w:rPr>
        <w:t xml:space="preserve">+ Dự toán cả năm về chi phí cần thiết cho các hoạt động cung cấp dịch vụ, thu phí được xây dựng căn </w:t>
      </w:r>
      <w:r w:rsidR="005807B1">
        <w:rPr>
          <w:color w:val="000000" w:themeColor="text1"/>
        </w:rPr>
        <w:t xml:space="preserve">cứ nội dung chi tại </w:t>
      </w:r>
      <w:r w:rsidR="005807B1" w:rsidRPr="005807B1">
        <w:rPr>
          <w:color w:val="000000" w:themeColor="text1"/>
        </w:rPr>
        <w:t>k</w:t>
      </w:r>
      <w:r w:rsidRPr="00A01832">
        <w:rPr>
          <w:color w:val="000000" w:themeColor="text1"/>
        </w:rPr>
        <w:t>hoản 2 Điều này và căn cứ chế độ, tiêu chuẩn, định mức chi theo quy định.</w:t>
      </w:r>
    </w:p>
    <w:p w14:paraId="28DFBDDA" w14:textId="77777777" w:rsidR="003D57C3" w:rsidRPr="00A01832" w:rsidRDefault="00243F28" w:rsidP="00312AB6">
      <w:pPr>
        <w:spacing w:before="120" w:after="120" w:line="276" w:lineRule="auto"/>
        <w:ind w:firstLine="567"/>
        <w:rPr>
          <w:color w:val="000000" w:themeColor="text1"/>
        </w:rPr>
      </w:pPr>
      <w:r w:rsidRPr="00A01832">
        <w:rPr>
          <w:color w:val="000000" w:themeColor="text1"/>
        </w:rPr>
        <w:t>+ Dự toán cả năm về phí thu được do tổ chức thu thực hiện được xây dựng căn cứ mức phí dự kiến và số lượng dịch vụ cung cấp trong năm.</w:t>
      </w:r>
    </w:p>
    <w:p w14:paraId="2A83262B" w14:textId="77777777" w:rsidR="003D57C3" w:rsidRPr="00A01832" w:rsidRDefault="005807B1" w:rsidP="00312AB6">
      <w:pPr>
        <w:spacing w:before="120" w:after="120" w:line="276" w:lineRule="auto"/>
        <w:ind w:firstLine="567"/>
        <w:rPr>
          <w:color w:val="000000" w:themeColor="text1"/>
        </w:rPr>
      </w:pPr>
      <w:r>
        <w:rPr>
          <w:color w:val="000000" w:themeColor="text1"/>
        </w:rPr>
        <w:t xml:space="preserve">+ Trường hợp </w:t>
      </w:r>
      <w:r w:rsidRPr="005807B1">
        <w:rPr>
          <w:color w:val="000000" w:themeColor="text1"/>
        </w:rPr>
        <w:t>đ</w:t>
      </w:r>
      <w:r w:rsidR="00243F28" w:rsidRPr="00A01832">
        <w:rPr>
          <w:color w:val="000000" w:themeColor="text1"/>
        </w:rPr>
        <w:t>iều chỉnh mức tỷ lệ để lại, dự toán thu, chi còn căn cứ số liệu thu, chi của năm trước liền kề.</w:t>
      </w:r>
    </w:p>
    <w:p w14:paraId="045C0E86" w14:textId="46D75931" w:rsidR="003D57C3" w:rsidRPr="002C1EDF" w:rsidRDefault="00243F28" w:rsidP="00312AB6">
      <w:pPr>
        <w:spacing w:before="120" w:after="120"/>
        <w:ind w:firstLine="567"/>
        <w:rPr>
          <w:color w:val="auto"/>
          <w:spacing w:val="-4"/>
        </w:rPr>
      </w:pPr>
      <w:r w:rsidRPr="002C1EDF">
        <w:rPr>
          <w:color w:val="auto"/>
          <w:spacing w:val="-4"/>
        </w:rPr>
        <w:t xml:space="preserve">Căn cứ </w:t>
      </w:r>
      <w:r w:rsidR="00B72B70" w:rsidRPr="002C1EDF">
        <w:rPr>
          <w:color w:val="auto"/>
          <w:spacing w:val="-4"/>
        </w:rPr>
        <w:t>dự toán</w:t>
      </w:r>
      <w:r w:rsidRPr="002C1EDF">
        <w:rPr>
          <w:color w:val="auto"/>
          <w:spacing w:val="-4"/>
        </w:rPr>
        <w:t xml:space="preserve"> thu, chi năm 202</w:t>
      </w:r>
      <w:r w:rsidR="005F672D" w:rsidRPr="002C1EDF">
        <w:rPr>
          <w:color w:val="auto"/>
          <w:spacing w:val="-4"/>
        </w:rPr>
        <w:t>6</w:t>
      </w:r>
      <w:r w:rsidR="005A3582" w:rsidRPr="002C1EDF">
        <w:rPr>
          <w:color w:val="auto"/>
          <w:spacing w:val="-4"/>
        </w:rPr>
        <w:t xml:space="preserve"> nêu trên</w:t>
      </w:r>
      <w:r w:rsidRPr="002C1EDF">
        <w:rPr>
          <w:color w:val="auto"/>
          <w:spacing w:val="-4"/>
        </w:rPr>
        <w:t xml:space="preserve">, tỷ lệ để lại </w:t>
      </w:r>
      <w:r w:rsidR="00B72B70" w:rsidRPr="002C1EDF">
        <w:rPr>
          <w:color w:val="auto"/>
          <w:spacing w:val="-4"/>
        </w:rPr>
        <w:t xml:space="preserve">được xác định </w:t>
      </w:r>
      <w:r w:rsidRPr="002C1EDF">
        <w:rPr>
          <w:color w:val="auto"/>
          <w:spacing w:val="-4"/>
        </w:rPr>
        <w:t xml:space="preserve">như sau: </w:t>
      </w:r>
    </w:p>
    <w:p w14:paraId="6FC8BE28" w14:textId="07537DD5" w:rsidR="004141D9" w:rsidRPr="005C5308" w:rsidRDefault="002D4B8C" w:rsidP="005C5308">
      <w:pPr>
        <w:spacing w:before="120" w:after="120"/>
        <w:ind w:firstLine="567"/>
        <w:jc w:val="center"/>
        <w:rPr>
          <w:rFonts w:eastAsia="Cambria Math"/>
          <w:color w:val="auto"/>
        </w:rPr>
      </w:pPr>
      <m:oMathPara>
        <m:oMath>
          <m:f>
            <m:fPr>
              <m:ctrlPr>
                <w:rPr>
                  <w:rFonts w:ascii="Cambria Math" w:eastAsia="Cambria Math" w:hAnsi="Cambria Math"/>
                  <w:color w:val="auto"/>
                </w:rPr>
              </m:ctrlPr>
            </m:fPr>
            <m:num>
              <m:r>
                <w:rPr>
                  <w:rFonts w:ascii="Cambria Math" w:eastAsia="Cambria Math" w:hAnsi="Cambria Math"/>
                  <w:color w:val="auto"/>
                </w:rPr>
                <m:t>1.063</m:t>
              </m:r>
              <m:r>
                <w:rPr>
                  <w:rFonts w:ascii="Cambria Math" w:eastAsia="Cambria Math" w:hAnsi="Cambria Math"/>
                  <w:color w:val="auto"/>
                </w:rPr>
                <m:t>.000.000</m:t>
              </m:r>
            </m:num>
            <m:den>
              <m:r>
                <w:rPr>
                  <w:rFonts w:ascii="Cambria Math" w:eastAsia="Cambria Math" w:hAnsi="Cambria Math"/>
                  <w:color w:val="auto"/>
                </w:rPr>
                <m:t>1.180</m:t>
              </m:r>
              <m:r>
                <w:rPr>
                  <w:rFonts w:ascii="Cambria Math" w:eastAsia="Cambria Math" w:hAnsi="Cambria Math"/>
                  <w:color w:val="auto"/>
                </w:rPr>
                <m:t>.000.000</m:t>
              </m:r>
            </m:den>
          </m:f>
          <m:r>
            <w:rPr>
              <w:rFonts w:ascii="Cambria Math" w:eastAsia="Cambria Math" w:hAnsi="Cambria Math"/>
              <w:color w:val="auto"/>
            </w:rPr>
            <m:t>×100=90 (%)</m:t>
          </m:r>
        </m:oMath>
      </m:oMathPara>
    </w:p>
    <w:p w14:paraId="033406EA" w14:textId="290C5EED" w:rsidR="004141D9" w:rsidRPr="002E258A" w:rsidRDefault="005C5308" w:rsidP="004141D9">
      <w:pPr>
        <w:spacing w:before="120" w:after="120" w:line="276" w:lineRule="auto"/>
        <w:ind w:firstLine="567"/>
        <w:rPr>
          <w:i/>
          <w:color w:val="auto"/>
        </w:rPr>
      </w:pPr>
      <w:r w:rsidRPr="002E258A">
        <w:rPr>
          <w:noProof/>
          <w:color w:val="000000" w:themeColor="text1"/>
        </w:rPr>
        <w:t>Mức</w:t>
      </w:r>
      <w:r w:rsidR="004141D9" w:rsidRPr="002E258A">
        <w:rPr>
          <w:noProof/>
          <w:color w:val="000000" w:themeColor="text1"/>
        </w:rPr>
        <w:t xml:space="preserve"> tỷ lệ để lại là </w:t>
      </w:r>
      <w:r w:rsidR="000F4BA1">
        <w:rPr>
          <w:noProof/>
          <w:color w:val="000000" w:themeColor="text1"/>
        </w:rPr>
        <w:t>9</w:t>
      </w:r>
      <w:r w:rsidR="004141D9" w:rsidRPr="004225FC">
        <w:rPr>
          <w:noProof/>
          <w:color w:val="000000" w:themeColor="text1"/>
        </w:rPr>
        <w:t>0%</w:t>
      </w:r>
      <w:r w:rsidR="004141D9" w:rsidRPr="002E258A">
        <w:rPr>
          <w:noProof/>
          <w:color w:val="000000" w:themeColor="text1"/>
        </w:rPr>
        <w:t xml:space="preserve"> </w:t>
      </w:r>
      <w:r w:rsidRPr="002E258A">
        <w:rPr>
          <w:noProof/>
        </w:rPr>
        <w:t xml:space="preserve">xác định tại Đề án này </w:t>
      </w:r>
      <w:r w:rsidRPr="002E258A">
        <w:rPr>
          <w:b/>
          <w:noProof/>
        </w:rPr>
        <w:t>kế thừa lại</w:t>
      </w:r>
      <w:r w:rsidRPr="002E258A">
        <w:rPr>
          <w:noProof/>
        </w:rPr>
        <w:t xml:space="preserve"> mức </w:t>
      </w:r>
      <w:r w:rsidRPr="002E258A">
        <w:rPr>
          <w:noProof/>
          <w:color w:val="000000" w:themeColor="text1"/>
        </w:rPr>
        <w:t xml:space="preserve">tỷ lệ để lại </w:t>
      </w:r>
      <w:r w:rsidRPr="002E258A">
        <w:rPr>
          <w:noProof/>
        </w:rPr>
        <w:t xml:space="preserve">được quy định tại </w:t>
      </w:r>
      <w:r w:rsidR="000F4BA1">
        <w:rPr>
          <w:iCs/>
          <w:noProof/>
        </w:rPr>
        <w:t>02 Nghị quyết nêu trên</w:t>
      </w:r>
      <w:r w:rsidR="004141D9" w:rsidRPr="002E258A">
        <w:rPr>
          <w:noProof/>
          <w:color w:val="000000" w:themeColor="text1"/>
          <w:highlight w:val="white"/>
        </w:rPr>
        <w:t>.</w:t>
      </w:r>
    </w:p>
    <w:p w14:paraId="76DE677B" w14:textId="77777777" w:rsidR="003D57C3" w:rsidRPr="00A01832" w:rsidRDefault="007514E1" w:rsidP="00312AB6">
      <w:pPr>
        <w:spacing w:before="120" w:after="120"/>
        <w:ind w:firstLine="567"/>
        <w:rPr>
          <w:b/>
          <w:color w:val="000000" w:themeColor="text1"/>
        </w:rPr>
      </w:pPr>
      <w:r>
        <w:rPr>
          <w:b/>
          <w:color w:val="000000" w:themeColor="text1"/>
        </w:rPr>
        <w:t>3</w:t>
      </w:r>
      <w:r w:rsidR="00243F28" w:rsidRPr="00A01832">
        <w:rPr>
          <w:b/>
          <w:color w:val="000000" w:themeColor="text1"/>
        </w:rPr>
        <w:t>. Đánh giá khả năng đóng góp của người nộp phí, hiệu quả thu phí</w:t>
      </w:r>
    </w:p>
    <w:p w14:paraId="4D34C68E" w14:textId="7E775945" w:rsidR="003D57C3" w:rsidRPr="002E258A" w:rsidRDefault="00621A67" w:rsidP="00312AB6">
      <w:pPr>
        <w:spacing w:before="120" w:after="120"/>
        <w:ind w:firstLine="567"/>
        <w:rPr>
          <w:color w:val="000000" w:themeColor="text1"/>
        </w:rPr>
      </w:pPr>
      <w:r w:rsidRPr="002E258A">
        <w:rPr>
          <w:noProof/>
          <w:color w:val="000000" w:themeColor="text1"/>
        </w:rPr>
        <w:t xml:space="preserve">Mức thu phí thẩm định </w:t>
      </w:r>
      <w:r w:rsidR="00732A33">
        <w:rPr>
          <w:noProof/>
          <w:color w:val="000000" w:themeColor="text1"/>
        </w:rPr>
        <w:t>cấp, cấp lại, điều chỉnh giấy phép môi trường</w:t>
      </w:r>
      <w:r w:rsidRPr="002E258A">
        <w:rPr>
          <w:noProof/>
          <w:color w:val="000000" w:themeColor="text1"/>
        </w:rPr>
        <w:t xml:space="preserve"> trong Đề án này được </w:t>
      </w:r>
      <w:r w:rsidRPr="002E258A">
        <w:rPr>
          <w:b/>
          <w:noProof/>
          <w:color w:val="000000" w:themeColor="text1"/>
        </w:rPr>
        <w:t xml:space="preserve">kế thừa </w:t>
      </w:r>
      <w:r w:rsidRPr="002E258A">
        <w:rPr>
          <w:b/>
          <w:noProof/>
        </w:rPr>
        <w:t>lại</w:t>
      </w:r>
      <w:r w:rsidRPr="002E258A">
        <w:rPr>
          <w:noProof/>
        </w:rPr>
        <w:t xml:space="preserve"> </w:t>
      </w:r>
      <w:r w:rsidR="00E06053" w:rsidRPr="00240096">
        <w:rPr>
          <w:bCs/>
          <w:noProof/>
          <w:spacing w:val="-3"/>
        </w:rPr>
        <w:t xml:space="preserve">mức thu phí đã quy định tại Nghị quyết số 59/2021/NQ-HĐND ngày 17/12/2021 của HĐND thành phố Đà Nẵng và mức thu phí đối với </w:t>
      </w:r>
      <w:r w:rsidR="00E06053">
        <w:rPr>
          <w:bCs/>
          <w:noProof/>
          <w:spacing w:val="-3"/>
        </w:rPr>
        <w:t>GPMT</w:t>
      </w:r>
      <w:r w:rsidR="00E06053" w:rsidRPr="00240096">
        <w:rPr>
          <w:bCs/>
          <w:noProof/>
          <w:spacing w:val="-3"/>
        </w:rPr>
        <w:t xml:space="preserve"> thuộc </w:t>
      </w:r>
      <w:r w:rsidR="00E06053">
        <w:rPr>
          <w:bCs/>
          <w:noProof/>
          <w:spacing w:val="-3"/>
        </w:rPr>
        <w:t xml:space="preserve">UBND </w:t>
      </w:r>
      <w:r w:rsidR="00E06053" w:rsidRPr="00240096">
        <w:rPr>
          <w:bCs/>
          <w:noProof/>
          <w:spacing w:val="-3"/>
        </w:rPr>
        <w:t>cấp tỉnh tại Nghị quyết số 07/2022/NQ-HĐND ngày 21/4/2022 của HĐND tỉnh Quảng Nam. Riêng đối với cơ sở có tiêu chí về môi trường như dự án đầu tư nhóm I, nhóm II và cơ sở có tiêu chí về môi trường như dự án đầu tư có số thứ tự 1 Mục I Phụ lục V ban hành kèm theo Nghị định số 05/2025/NĐ-CP ngày 06/01/2025 của Chính phủ, mức thu phí là 9.000.000 đồng/hồ sơ và bao gồm chi phí cho hoạt động lấy và phân tích mẫu chất thải của đoàn kiểm tra theo quy định tại khoản 7 Điều 29 Nghị định số 08/2022/NĐ-CP được sửa đổi, bổ sung tại khoản 11 Điều 1 Nghị định số 05/2025/NĐ-CP</w:t>
      </w:r>
      <w:r w:rsidR="00E06053">
        <w:rPr>
          <w:bCs/>
          <w:noProof/>
          <w:spacing w:val="-3"/>
        </w:rPr>
        <w:t>.</w:t>
      </w:r>
      <w:r w:rsidR="00E06053" w:rsidRPr="008570A7">
        <w:rPr>
          <w:iCs/>
          <w:noProof/>
          <w:spacing w:val="-3"/>
        </w:rPr>
        <w:t xml:space="preserve"> </w:t>
      </w:r>
      <w:bookmarkStart w:id="14" w:name="_heading=h.3rdcrjn" w:colFirst="0" w:colLast="0"/>
      <w:bookmarkEnd w:id="14"/>
      <w:r w:rsidR="00243F28" w:rsidRPr="002E258A">
        <w:rPr>
          <w:color w:val="000000" w:themeColor="text1"/>
        </w:rPr>
        <w:t xml:space="preserve">Việc ban hành mức thu phí </w:t>
      </w:r>
      <w:r w:rsidR="000C33A8" w:rsidRPr="002E258A">
        <w:rPr>
          <w:color w:val="000000" w:themeColor="text1"/>
        </w:rPr>
        <w:t xml:space="preserve">thẩm định </w:t>
      </w:r>
      <w:r w:rsidR="0032315D">
        <w:rPr>
          <w:noProof/>
          <w:color w:val="000000" w:themeColor="text1"/>
        </w:rPr>
        <w:t>cấp, cấp lại, điều chỉnh giấy phép môi trường</w:t>
      </w:r>
      <w:r w:rsidR="0032315D" w:rsidRPr="002E258A">
        <w:rPr>
          <w:noProof/>
          <w:color w:val="000000" w:themeColor="text1"/>
        </w:rPr>
        <w:t xml:space="preserve"> </w:t>
      </w:r>
      <w:r w:rsidR="00243F28" w:rsidRPr="002E258A">
        <w:rPr>
          <w:color w:val="000000" w:themeColor="text1"/>
        </w:rPr>
        <w:t xml:space="preserve">trên địa bàn thành phố </w:t>
      </w:r>
      <w:r w:rsidR="000C33A8" w:rsidRPr="002E258A">
        <w:rPr>
          <w:color w:val="000000" w:themeColor="text1"/>
        </w:rPr>
        <w:t xml:space="preserve">Đà Nẵng </w:t>
      </w:r>
      <w:r w:rsidR="00243F28" w:rsidRPr="002E258A">
        <w:rPr>
          <w:color w:val="000000" w:themeColor="text1"/>
        </w:rPr>
        <w:t xml:space="preserve">làm cơ sở để đơn vị cung cấp dịch vụ thu phí và có nguồn kinh phí chi trả cho hoạt động liên quan công tác </w:t>
      </w:r>
      <w:r w:rsidR="000C33A8" w:rsidRPr="002E258A">
        <w:rPr>
          <w:color w:val="000000" w:themeColor="text1"/>
        </w:rPr>
        <w:t xml:space="preserve">thẩm định </w:t>
      </w:r>
      <w:r w:rsidR="0032315D">
        <w:rPr>
          <w:noProof/>
          <w:color w:val="000000" w:themeColor="text1"/>
        </w:rPr>
        <w:t xml:space="preserve">cấp, cấp lại, điều chỉnh giấy </w:t>
      </w:r>
      <w:r w:rsidR="0032315D">
        <w:rPr>
          <w:noProof/>
          <w:color w:val="000000" w:themeColor="text1"/>
        </w:rPr>
        <w:lastRenderedPageBreak/>
        <w:t>phép môi trường</w:t>
      </w:r>
      <w:r w:rsidR="0032315D" w:rsidRPr="002E258A">
        <w:rPr>
          <w:noProof/>
          <w:color w:val="000000" w:themeColor="text1"/>
        </w:rPr>
        <w:t xml:space="preserve"> </w:t>
      </w:r>
      <w:r w:rsidR="00C165A6" w:rsidRPr="002E258A">
        <w:rPr>
          <w:color w:val="000000" w:themeColor="text1"/>
        </w:rPr>
        <w:t>theo quy định tại Luật Bảo vệ môi trường và các văn bản quy phạm pháp luật quy định chi tiết thi hành Luật</w:t>
      </w:r>
      <w:r w:rsidR="00243F28" w:rsidRPr="002E258A">
        <w:rPr>
          <w:color w:val="000000" w:themeColor="text1"/>
        </w:rPr>
        <w:t>.</w:t>
      </w:r>
    </w:p>
    <w:p w14:paraId="7CB20C93" w14:textId="77777777" w:rsidR="003D57C3" w:rsidRPr="000A0F59" w:rsidRDefault="007514E1" w:rsidP="00312AB6">
      <w:pPr>
        <w:spacing w:before="120" w:after="120"/>
        <w:ind w:firstLine="567"/>
        <w:rPr>
          <w:b/>
          <w:color w:val="000000" w:themeColor="text1"/>
        </w:rPr>
      </w:pPr>
      <w:r w:rsidRPr="000A0F59">
        <w:rPr>
          <w:b/>
          <w:color w:val="000000" w:themeColor="text1"/>
        </w:rPr>
        <w:t>4</w:t>
      </w:r>
      <w:r w:rsidR="00243F28" w:rsidRPr="000A0F59">
        <w:rPr>
          <w:b/>
          <w:color w:val="000000" w:themeColor="text1"/>
        </w:rPr>
        <w:t>. Chế độ thu, nộp, quản lý, sử dụng, công khai và quyết toán phí</w:t>
      </w:r>
    </w:p>
    <w:p w14:paraId="55995F2F" w14:textId="77777777" w:rsidR="003D57C3" w:rsidRPr="000A0F59" w:rsidRDefault="00243F28" w:rsidP="00312AB6">
      <w:pPr>
        <w:spacing w:before="120" w:after="120"/>
        <w:ind w:firstLine="567"/>
        <w:rPr>
          <w:color w:val="000000" w:themeColor="text1"/>
        </w:rPr>
      </w:pPr>
      <w:r w:rsidRPr="000A0F59">
        <w:rPr>
          <w:color w:val="000000" w:themeColor="text1"/>
        </w:rPr>
        <w:t>a) Về thu, nộp, quản lý và sử dụng tiền phí</w:t>
      </w:r>
    </w:p>
    <w:p w14:paraId="77E56A9C" w14:textId="39D69F90" w:rsidR="003D57C3" w:rsidRPr="000A0F59" w:rsidRDefault="00D57293" w:rsidP="00312AB6">
      <w:pPr>
        <w:spacing w:before="120" w:after="120"/>
        <w:ind w:firstLine="567"/>
        <w:rPr>
          <w:color w:val="000000" w:themeColor="text1"/>
          <w:highlight w:val="white"/>
        </w:rPr>
      </w:pPr>
      <w:r w:rsidRPr="000A0F59">
        <w:rPr>
          <w:color w:val="000000" w:themeColor="text1"/>
          <w:highlight w:val="white"/>
        </w:rPr>
        <w:t xml:space="preserve">Cơ quan thu phí được để lại </w:t>
      </w:r>
      <w:r w:rsidR="00212A58">
        <w:rPr>
          <w:color w:val="000000" w:themeColor="text1"/>
          <w:highlight w:val="white"/>
        </w:rPr>
        <w:t>9</w:t>
      </w:r>
      <w:r w:rsidR="00470968" w:rsidRPr="00732A33">
        <w:rPr>
          <w:color w:val="000000" w:themeColor="text1"/>
          <w:highlight w:val="white"/>
        </w:rPr>
        <w:t>0</w:t>
      </w:r>
      <w:r w:rsidR="00243F28" w:rsidRPr="000A0F59">
        <w:rPr>
          <w:color w:val="000000" w:themeColor="text1"/>
          <w:highlight w:val="white"/>
        </w:rPr>
        <w:t xml:space="preserve">% tổng số tiền phí thu được để trang trải chi phí phục vụ công tác thẩm định và thu phí. </w:t>
      </w:r>
      <w:r w:rsidR="00243F28" w:rsidRPr="000A0F59">
        <w:rPr>
          <w:color w:val="000000" w:themeColor="text1"/>
        </w:rPr>
        <w:t xml:space="preserve">Nguyên tắc quản lý, sử dụng phí thực hiện theo quy định </w:t>
      </w:r>
      <w:r w:rsidR="00243F28" w:rsidRPr="000A0F59">
        <w:rPr>
          <w:color w:val="000000" w:themeColor="text1"/>
          <w:highlight w:val="white"/>
        </w:rPr>
        <w:t>tại Luật Phí và lệ phí và các văn bản pháp luật khác có liên quan.</w:t>
      </w:r>
    </w:p>
    <w:p w14:paraId="3737C906" w14:textId="77777777" w:rsidR="003D57C3" w:rsidRPr="000A0F59" w:rsidRDefault="00243F28" w:rsidP="00312AB6">
      <w:pPr>
        <w:spacing w:before="120" w:after="120"/>
        <w:ind w:firstLine="567"/>
        <w:rPr>
          <w:color w:val="000000" w:themeColor="text1"/>
        </w:rPr>
      </w:pPr>
      <w:r w:rsidRPr="000A0F59">
        <w:rPr>
          <w:color w:val="000000" w:themeColor="text1"/>
        </w:rPr>
        <w:t>b) Chứng từ nộp phí</w:t>
      </w:r>
    </w:p>
    <w:p w14:paraId="7227C9D0" w14:textId="77777777" w:rsidR="003D57C3" w:rsidRPr="000A0F59" w:rsidRDefault="00243F28" w:rsidP="00312AB6">
      <w:pPr>
        <w:spacing w:before="120" w:after="120"/>
        <w:ind w:firstLine="567"/>
        <w:rPr>
          <w:color w:val="000000" w:themeColor="text1"/>
        </w:rPr>
      </w:pPr>
      <w:r w:rsidRPr="000A0F59">
        <w:rPr>
          <w:color w:val="000000" w:themeColor="text1"/>
        </w:rPr>
        <w:t>Tổ chức thu phí có trách nhiệm lập, cấp biên lai cho đối tượng nộp phí theo quy định của pháp luật về tài chính.</w:t>
      </w:r>
    </w:p>
    <w:p w14:paraId="7B761A35" w14:textId="77777777" w:rsidR="003D57C3" w:rsidRPr="000A0F59" w:rsidRDefault="00243F28" w:rsidP="00312AB6">
      <w:pPr>
        <w:spacing w:before="120" w:after="120"/>
        <w:ind w:firstLine="567"/>
        <w:rPr>
          <w:color w:val="000000" w:themeColor="text1"/>
        </w:rPr>
      </w:pPr>
      <w:r w:rsidRPr="000A0F59">
        <w:rPr>
          <w:color w:val="000000" w:themeColor="text1"/>
        </w:rPr>
        <w:t>c) Lập dự toán và quyết toán</w:t>
      </w:r>
    </w:p>
    <w:p w14:paraId="7CD867F3" w14:textId="77777777" w:rsidR="003D57C3" w:rsidRPr="000A0F59" w:rsidRDefault="00243F28" w:rsidP="00312AB6">
      <w:pPr>
        <w:spacing w:before="120" w:after="120"/>
        <w:ind w:firstLine="567"/>
        <w:rPr>
          <w:color w:val="000000" w:themeColor="text1"/>
        </w:rPr>
      </w:pPr>
      <w:r w:rsidRPr="000A0F59">
        <w:rPr>
          <w:color w:val="000000" w:themeColor="text1"/>
        </w:rPr>
        <w:t>Hàng năm, tổ chức thu phí lập dự toán thu phí căn cứ mức phí dự kiến và số lượng dịch vụ cung cấp trong năm; lập dự toán chi và căn cứ chế độ, tiêu chuẩn, định mức chi theo quy định gửi cơ quan quản lý ngành, lĩnh vực cấp trên, cơ quan tài chính, cơ quan thuế cùng cấp, kho bạc nhà nước nơi tổ chức thu phí mở tài khoản tạm giữ tiền phí để kiểm soát chi theo quy định hiện hành.</w:t>
      </w:r>
    </w:p>
    <w:p w14:paraId="1518C97E" w14:textId="77777777" w:rsidR="003D57C3" w:rsidRPr="000A0F59" w:rsidRDefault="00243F28" w:rsidP="00312AB6">
      <w:pPr>
        <w:spacing w:before="120" w:after="120"/>
        <w:ind w:firstLine="567"/>
        <w:rPr>
          <w:color w:val="000000" w:themeColor="text1"/>
        </w:rPr>
      </w:pPr>
      <w:r w:rsidRPr="000A0F59">
        <w:rPr>
          <w:color w:val="000000" w:themeColor="text1"/>
        </w:rPr>
        <w:t>Tổ chức thu phí lập tờ khai phí hàng tháng nộp cơ quan thuế cùng cấp (chậm nhất không quá ngày 20 của tháng tiếp theo); hàng năm phải quyết toán thu, chi theo quy định. Sau khi quyết toán thu, chi đúng chế độ, số tiền chưa chi hết trong năm được chuyển sang năm sau để tiếp tục chi theo chế độ quy định.</w:t>
      </w:r>
    </w:p>
    <w:p w14:paraId="72F6B61F" w14:textId="77777777" w:rsidR="003D57C3" w:rsidRPr="000A0F59" w:rsidRDefault="00243F28" w:rsidP="00312AB6">
      <w:pPr>
        <w:spacing w:before="120" w:after="120"/>
        <w:ind w:firstLine="567"/>
        <w:rPr>
          <w:color w:val="000000" w:themeColor="text1"/>
        </w:rPr>
      </w:pPr>
      <w:r w:rsidRPr="000A0F59">
        <w:rPr>
          <w:color w:val="000000" w:themeColor="text1"/>
        </w:rPr>
        <w:t>d) Công khai chế độ thu phí</w:t>
      </w:r>
    </w:p>
    <w:p w14:paraId="7DB5AACF" w14:textId="11DF22B2" w:rsidR="003D57C3" w:rsidRPr="000A0F59" w:rsidRDefault="00243F28" w:rsidP="00312AB6">
      <w:pPr>
        <w:spacing w:before="120" w:after="120"/>
        <w:ind w:firstLine="567"/>
        <w:rPr>
          <w:color w:val="000000" w:themeColor="text1"/>
        </w:rPr>
      </w:pPr>
      <w:r w:rsidRPr="000A0F59">
        <w:rPr>
          <w:color w:val="000000" w:themeColor="text1"/>
        </w:rPr>
        <w:t xml:space="preserve">Niêm yết công khai tại địa điểm thu và công khai trên Trang thông tin điện tử của tổ chức thu phí về tên phí, mức thu, phương thức thu, đối tượng </w:t>
      </w:r>
      <w:r w:rsidR="00995E29" w:rsidRPr="000A0F59">
        <w:rPr>
          <w:color w:val="000000" w:themeColor="text1"/>
        </w:rPr>
        <w:t xml:space="preserve">thu, </w:t>
      </w:r>
      <w:r w:rsidRPr="000A0F59">
        <w:rPr>
          <w:color w:val="000000" w:themeColor="text1"/>
        </w:rPr>
        <w:t>nộp và văn bản quy định thu phí theo đúng quy định.</w:t>
      </w:r>
    </w:p>
    <w:p w14:paraId="3D66C89A" w14:textId="77777777" w:rsidR="003D57C3" w:rsidRPr="000A0F59" w:rsidRDefault="00243F28" w:rsidP="00312AB6">
      <w:pPr>
        <w:spacing w:before="120" w:after="120"/>
        <w:ind w:firstLine="567"/>
        <w:rPr>
          <w:b/>
          <w:color w:val="000000" w:themeColor="text1"/>
        </w:rPr>
      </w:pPr>
      <w:r w:rsidRPr="000A0F59">
        <w:rPr>
          <w:b/>
          <w:color w:val="000000" w:themeColor="text1"/>
        </w:rPr>
        <w:t>V. TỔ CHỨC THỰC HIỆN</w:t>
      </w:r>
    </w:p>
    <w:p w14:paraId="2B2A8A19" w14:textId="029D3F1C" w:rsidR="003D57C3" w:rsidRPr="000A0F59" w:rsidRDefault="002B3941" w:rsidP="00312AB6">
      <w:pPr>
        <w:spacing w:before="120" w:after="120"/>
        <w:ind w:firstLine="567"/>
        <w:rPr>
          <w:color w:val="000000" w:themeColor="text1"/>
        </w:rPr>
      </w:pPr>
      <w:r w:rsidRPr="000A0F59">
        <w:rPr>
          <w:noProof/>
          <w:color w:val="000000" w:themeColor="text1"/>
        </w:rPr>
        <w:t xml:space="preserve">Sau khi Đề án quy định mức thu, đối tượng thu, nộp, chế độ quản lý sử dụng phí thẩm định </w:t>
      </w:r>
      <w:r w:rsidR="00732A33">
        <w:rPr>
          <w:color w:val="000000" w:themeColor="text1"/>
        </w:rPr>
        <w:t>cấp, cấp lại, điều chỉnh giấy phép môi trường</w:t>
      </w:r>
      <w:r w:rsidR="00DD1FFA" w:rsidRPr="000A0F59">
        <w:rPr>
          <w:color w:val="000000" w:themeColor="text1"/>
        </w:rPr>
        <w:t xml:space="preserve"> </w:t>
      </w:r>
      <w:r w:rsidRPr="000A0F59">
        <w:rPr>
          <w:noProof/>
          <w:color w:val="000000" w:themeColor="text1"/>
        </w:rPr>
        <w:t xml:space="preserve">trên địa bàn thành phố Đà Nẵng được HĐND thành phố </w:t>
      </w:r>
      <w:r w:rsidR="00DD1FFA" w:rsidRPr="000A0F59">
        <w:rPr>
          <w:noProof/>
          <w:color w:val="000000" w:themeColor="text1"/>
        </w:rPr>
        <w:t xml:space="preserve">Đà Nẵng </w:t>
      </w:r>
      <w:r w:rsidRPr="000A0F59">
        <w:rPr>
          <w:noProof/>
          <w:color w:val="000000" w:themeColor="text1"/>
        </w:rPr>
        <w:t xml:space="preserve">có Nghị quyết thông qua </w:t>
      </w:r>
      <w:r w:rsidR="00243F28" w:rsidRPr="000A0F59">
        <w:rPr>
          <w:color w:val="000000" w:themeColor="text1"/>
        </w:rPr>
        <w:t xml:space="preserve">sẽ thay thế nội dung quy định mức thu </w:t>
      </w:r>
      <w:r w:rsidR="00642D93" w:rsidRPr="000A0F59">
        <w:rPr>
          <w:color w:val="000000" w:themeColor="text1"/>
        </w:rPr>
        <w:t>p</w:t>
      </w:r>
      <w:r w:rsidR="00243F28" w:rsidRPr="000A0F59">
        <w:rPr>
          <w:color w:val="000000" w:themeColor="text1"/>
        </w:rPr>
        <w:t xml:space="preserve">hí </w:t>
      </w:r>
      <w:r w:rsidR="00642D93" w:rsidRPr="000A0F59">
        <w:rPr>
          <w:color w:val="000000" w:themeColor="text1"/>
        </w:rPr>
        <w:t xml:space="preserve">thẩm định </w:t>
      </w:r>
      <w:r w:rsidR="00732A33">
        <w:rPr>
          <w:color w:val="000000" w:themeColor="text1"/>
        </w:rPr>
        <w:t>cấp, cấp lại, điều chỉnh giấy phép môi trường</w:t>
      </w:r>
      <w:r w:rsidR="00DD1FFA" w:rsidRPr="000A0F59">
        <w:rPr>
          <w:color w:val="000000" w:themeColor="text1"/>
        </w:rPr>
        <w:t xml:space="preserve"> </w:t>
      </w:r>
      <w:r w:rsidR="00642D93" w:rsidRPr="000A0F59">
        <w:rPr>
          <w:color w:val="000000" w:themeColor="text1"/>
        </w:rPr>
        <w:t>tại</w:t>
      </w:r>
      <w:r w:rsidR="00243F28" w:rsidRPr="000A0F59">
        <w:rPr>
          <w:color w:val="000000" w:themeColor="text1"/>
        </w:rPr>
        <w:t xml:space="preserve"> </w:t>
      </w:r>
      <w:r w:rsidR="00212A58">
        <w:t xml:space="preserve">Nghị quyết số 59/2021/NQ-HĐND ngày 17/12/2021 của </w:t>
      </w:r>
      <w:r w:rsidR="00387C43">
        <w:t>HĐND</w:t>
      </w:r>
      <w:r w:rsidR="00212A58">
        <w:t xml:space="preserve"> thành phố Đà Nẵng quy định mức thu, đối tượng thu, nộp, chế độ quản lý, sử dụng phí thẩm định cấp, cấp lại, điều chỉnh giấy phép môi trường trên địa bàn thành phố Đà Nẵng</w:t>
      </w:r>
      <w:r w:rsidR="00F5658B" w:rsidRPr="000A0F59">
        <w:t xml:space="preserve">; </w:t>
      </w:r>
      <w:r w:rsidR="00387C43">
        <w:t>Nghị quyết số 07/2022/NQ-HĐND ngày 21/4/2022 của HĐND tỉnh Quảng Nam quy định mức thu, chế độ thu, nộp, quản lý và sử dụng phí thẩm định cấp, cấp lại, điều chỉnh giấy phép môi trường trên địa bàn tỉnh Quảng Nam</w:t>
      </w:r>
      <w:r w:rsidR="00F5658B" w:rsidRPr="000A0F59">
        <w:t xml:space="preserve">; Khoản </w:t>
      </w:r>
      <w:r w:rsidR="00387C43">
        <w:t>8</w:t>
      </w:r>
      <w:r w:rsidR="00F5658B" w:rsidRPr="000A0F59">
        <w:t xml:space="preserve"> Điều 2 Nghị quyết số 18/2024/NQ-HĐND ngày 11</w:t>
      </w:r>
      <w:r w:rsidR="007B1285" w:rsidRPr="000A0F59">
        <w:t>/</w:t>
      </w:r>
      <w:r w:rsidR="00F5658B" w:rsidRPr="000A0F59">
        <w:t>7</w:t>
      </w:r>
      <w:r w:rsidR="007B1285" w:rsidRPr="000A0F59">
        <w:t>/</w:t>
      </w:r>
      <w:r w:rsidR="00F5658B" w:rsidRPr="000A0F59">
        <w:t xml:space="preserve">2024 của </w:t>
      </w:r>
      <w:r w:rsidR="007B1285" w:rsidRPr="000A0F59">
        <w:t xml:space="preserve">HĐND </w:t>
      </w:r>
      <w:r w:rsidR="00F5658B" w:rsidRPr="000A0F59">
        <w:t>tỉnh Quảng Nam quy định mức thu phí, lệ phí không đồng trong thực hiện dịch vụ công trực tuyến trên địa bàn tỉnh Quảng Nam</w:t>
      </w:r>
      <w:r w:rsidR="00243F28" w:rsidRPr="000A0F59">
        <w:rPr>
          <w:color w:val="000000" w:themeColor="text1"/>
        </w:rPr>
        <w:t>.</w:t>
      </w:r>
    </w:p>
    <w:p w14:paraId="1A00A5DE" w14:textId="5F9313B9" w:rsidR="003D57C3" w:rsidRPr="000A0F59" w:rsidRDefault="00243F28" w:rsidP="00312AB6">
      <w:pPr>
        <w:spacing w:before="120" w:after="120"/>
        <w:ind w:firstLine="567"/>
        <w:rPr>
          <w:color w:val="000000" w:themeColor="text1"/>
        </w:rPr>
      </w:pPr>
      <w:r w:rsidRPr="000A0F59">
        <w:rPr>
          <w:color w:val="000000" w:themeColor="text1"/>
        </w:rPr>
        <w:lastRenderedPageBreak/>
        <w:t xml:space="preserve">UBND thành phố ban hành Quyết định triển khai thực hiện Nghị quyết của </w:t>
      </w:r>
      <w:r w:rsidR="00642D93" w:rsidRPr="000A0F59">
        <w:rPr>
          <w:color w:val="000000" w:themeColor="text1"/>
        </w:rPr>
        <w:t xml:space="preserve">HĐND </w:t>
      </w:r>
      <w:r w:rsidRPr="000A0F59">
        <w:rPr>
          <w:color w:val="000000" w:themeColor="text1"/>
        </w:rPr>
        <w:t xml:space="preserve">thành phố và chỉ đạo </w:t>
      </w:r>
      <w:r w:rsidR="00882839" w:rsidRPr="000A0F59">
        <w:rPr>
          <w:color w:val="000000" w:themeColor="text1"/>
        </w:rPr>
        <w:t xml:space="preserve">các Sở, ban, ngành, </w:t>
      </w:r>
      <w:r w:rsidR="00080E3A" w:rsidRPr="000A0F59">
        <w:rPr>
          <w:color w:val="000000" w:themeColor="text1"/>
        </w:rPr>
        <w:t xml:space="preserve">Chi cục </w:t>
      </w:r>
      <w:r w:rsidR="0003069E" w:rsidRPr="000A0F59">
        <w:rPr>
          <w:color w:val="000000" w:themeColor="text1"/>
        </w:rPr>
        <w:t>T</w:t>
      </w:r>
      <w:r w:rsidR="00080E3A" w:rsidRPr="000A0F59">
        <w:rPr>
          <w:color w:val="000000" w:themeColor="text1"/>
        </w:rPr>
        <w:t>huế khu vực XII</w:t>
      </w:r>
      <w:r w:rsidRPr="000A0F59">
        <w:rPr>
          <w:color w:val="000000" w:themeColor="text1"/>
        </w:rPr>
        <w:t xml:space="preserve"> và các cơ quan, đơn vị liên quan tổ chức triển khai thực hiện theo quy định.</w:t>
      </w:r>
    </w:p>
    <w:p w14:paraId="25E805C0" w14:textId="781D2DFB" w:rsidR="003D57C3" w:rsidRPr="00A01832" w:rsidRDefault="00243F28" w:rsidP="00312AB6">
      <w:pPr>
        <w:spacing w:before="120" w:after="120"/>
        <w:ind w:firstLine="567"/>
        <w:rPr>
          <w:color w:val="000000" w:themeColor="text1"/>
        </w:rPr>
      </w:pPr>
      <w:r w:rsidRPr="000A0F59">
        <w:rPr>
          <w:color w:val="000000" w:themeColor="text1"/>
        </w:rPr>
        <w:t xml:space="preserve">Trong quá trình thực hiện, khi có sự thay đổi của </w:t>
      </w:r>
      <w:r w:rsidR="002E1F6A" w:rsidRPr="000A0F59">
        <w:rPr>
          <w:color w:val="000000" w:themeColor="text1"/>
        </w:rPr>
        <w:t xml:space="preserve">quy định </w:t>
      </w:r>
      <w:r w:rsidRPr="000A0F59">
        <w:rPr>
          <w:color w:val="000000" w:themeColor="text1"/>
        </w:rPr>
        <w:t xml:space="preserve">pháp luật về phí </w:t>
      </w:r>
      <w:r w:rsidR="00642D93" w:rsidRPr="000A0F59">
        <w:rPr>
          <w:color w:val="000000" w:themeColor="text1"/>
        </w:rPr>
        <w:t xml:space="preserve">thẩm định </w:t>
      </w:r>
      <w:r w:rsidR="00732A33">
        <w:rPr>
          <w:color w:val="000000" w:themeColor="text1"/>
        </w:rPr>
        <w:t>cấp, cấp lại, điều chỉnh giấy phép môi trường</w:t>
      </w:r>
      <w:r w:rsidR="00652EEE" w:rsidRPr="000A0F59">
        <w:rPr>
          <w:color w:val="000000" w:themeColor="text1"/>
        </w:rPr>
        <w:t xml:space="preserve"> </w:t>
      </w:r>
      <w:r w:rsidRPr="000A0F59">
        <w:rPr>
          <w:color w:val="000000" w:themeColor="text1"/>
        </w:rPr>
        <w:t xml:space="preserve">thì UBND thành phố trình </w:t>
      </w:r>
      <w:r w:rsidR="00E96308" w:rsidRPr="000A0F59">
        <w:rPr>
          <w:color w:val="000000" w:themeColor="text1"/>
        </w:rPr>
        <w:t xml:space="preserve">HĐND </w:t>
      </w:r>
      <w:r w:rsidRPr="000A0F59">
        <w:rPr>
          <w:color w:val="000000" w:themeColor="text1"/>
        </w:rPr>
        <w:t>thành phố để xem xét, điều chỉnh cho phù hợp./.</w:t>
      </w:r>
    </w:p>
    <w:p w14:paraId="513150E5" w14:textId="77777777" w:rsidR="004C0F09" w:rsidRPr="00A01832" w:rsidRDefault="004C0F09">
      <w:pPr>
        <w:spacing w:before="120"/>
        <w:ind w:firstLine="709"/>
        <w:rPr>
          <w:color w:val="000000" w:themeColor="text1"/>
        </w:rPr>
      </w:pPr>
    </w:p>
    <w:tbl>
      <w:tblPr>
        <w:tblStyle w:val="a2"/>
        <w:tblW w:w="4644" w:type="dxa"/>
        <w:tblInd w:w="4450" w:type="dxa"/>
        <w:tblLayout w:type="fixed"/>
        <w:tblLook w:val="0400" w:firstRow="0" w:lastRow="0" w:firstColumn="0" w:lastColumn="0" w:noHBand="0" w:noVBand="1"/>
      </w:tblPr>
      <w:tblGrid>
        <w:gridCol w:w="4644"/>
      </w:tblGrid>
      <w:tr w:rsidR="004C0F09" w:rsidRPr="00A01832" w14:paraId="70065B4D" w14:textId="77777777" w:rsidTr="004C0F09">
        <w:tc>
          <w:tcPr>
            <w:tcW w:w="4644" w:type="dxa"/>
            <w:shd w:val="clear" w:color="auto" w:fill="auto"/>
          </w:tcPr>
          <w:p w14:paraId="6BF9393B" w14:textId="77777777" w:rsidR="003D57C3" w:rsidRPr="00A01832" w:rsidRDefault="00243F28">
            <w:pPr>
              <w:ind w:firstLine="706"/>
              <w:jc w:val="center"/>
              <w:rPr>
                <w:b/>
                <w:color w:val="000000" w:themeColor="text1"/>
              </w:rPr>
            </w:pPr>
            <w:r w:rsidRPr="00A01832">
              <w:rPr>
                <w:b/>
                <w:color w:val="000000" w:themeColor="text1"/>
              </w:rPr>
              <w:t>TM. ỦY BAN NHÂN DÂN</w:t>
            </w:r>
          </w:p>
          <w:p w14:paraId="531576AE" w14:textId="77777777" w:rsidR="003D57C3" w:rsidRPr="00A01832" w:rsidRDefault="00243F28">
            <w:pPr>
              <w:ind w:firstLine="706"/>
              <w:jc w:val="center"/>
              <w:rPr>
                <w:b/>
                <w:color w:val="000000" w:themeColor="text1"/>
              </w:rPr>
            </w:pPr>
            <w:r w:rsidRPr="00A01832">
              <w:rPr>
                <w:b/>
                <w:color w:val="000000" w:themeColor="text1"/>
              </w:rPr>
              <w:t xml:space="preserve"> CHỦ TỊCH</w:t>
            </w:r>
          </w:p>
          <w:p w14:paraId="7976E0ED" w14:textId="77777777" w:rsidR="003D57C3" w:rsidRPr="00A01832" w:rsidRDefault="003D57C3">
            <w:pPr>
              <w:spacing w:before="120"/>
              <w:ind w:firstLine="709"/>
              <w:rPr>
                <w:color w:val="000000" w:themeColor="text1"/>
              </w:rPr>
            </w:pPr>
          </w:p>
          <w:p w14:paraId="609FDDA1" w14:textId="77777777" w:rsidR="003D57C3" w:rsidRPr="00A01832" w:rsidRDefault="003D57C3" w:rsidP="00F23375">
            <w:pPr>
              <w:spacing w:before="120"/>
              <w:rPr>
                <w:color w:val="000000" w:themeColor="text1"/>
              </w:rPr>
            </w:pPr>
          </w:p>
        </w:tc>
      </w:tr>
    </w:tbl>
    <w:p w14:paraId="3EE995CE" w14:textId="77777777" w:rsidR="003D57C3" w:rsidRPr="00105F7C" w:rsidRDefault="003D57C3" w:rsidP="00F23375">
      <w:pPr>
        <w:tabs>
          <w:tab w:val="left" w:pos="6924"/>
        </w:tabs>
        <w:spacing w:before="120" w:after="120"/>
        <w:rPr>
          <w:color w:val="000000" w:themeColor="text1"/>
          <w:lang w:val="en-US"/>
        </w:rPr>
      </w:pPr>
    </w:p>
    <w:sectPr w:rsidR="003D57C3" w:rsidRPr="00105F7C" w:rsidSect="00020F82">
      <w:headerReference w:type="even" r:id="rId9"/>
      <w:headerReference w:type="default" r:id="rId10"/>
      <w:footerReference w:type="default" r:id="rId11"/>
      <w:pgSz w:w="11906" w:h="16838"/>
      <w:pgMar w:top="851" w:right="1134" w:bottom="851" w:left="1701" w:header="680"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EB0EF" w14:textId="77777777" w:rsidR="002D4B8C" w:rsidRDefault="002D4B8C">
      <w:r>
        <w:separator/>
      </w:r>
    </w:p>
  </w:endnote>
  <w:endnote w:type="continuationSeparator" w:id="0">
    <w:p w14:paraId="2D1F2797" w14:textId="77777777" w:rsidR="002D4B8C" w:rsidRDefault="002D4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nAvant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Times">
    <w:altName w:val="Sylfaen"/>
    <w:panose1 w:val="02020603050405020304"/>
    <w:charset w:val="00"/>
    <w:family w:val="swiss"/>
    <w:pitch w:val="variable"/>
    <w:sig w:usb0="20000A87" w:usb1="08000000" w:usb2="00000008" w:usb3="00000000" w:csb0="00000101"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1201C" w14:textId="77777777" w:rsidR="003D57C3" w:rsidRDefault="003D57C3" w:rsidP="00781D10">
    <w:pPr>
      <w:pBdr>
        <w:top w:val="nil"/>
        <w:left w:val="nil"/>
        <w:bottom w:val="nil"/>
        <w:right w:val="nil"/>
        <w:between w:val="nil"/>
      </w:pBdr>
      <w:tabs>
        <w:tab w:val="center" w:pos="4513"/>
        <w:tab w:val="right"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3ED08" w14:textId="77777777" w:rsidR="002D4B8C" w:rsidRDefault="002D4B8C">
      <w:r>
        <w:separator/>
      </w:r>
    </w:p>
  </w:footnote>
  <w:footnote w:type="continuationSeparator" w:id="0">
    <w:p w14:paraId="129BD3A7" w14:textId="77777777" w:rsidR="002D4B8C" w:rsidRDefault="002D4B8C">
      <w:r>
        <w:continuationSeparator/>
      </w:r>
    </w:p>
  </w:footnote>
  <w:footnote w:id="1">
    <w:p w14:paraId="283B80B0" w14:textId="4F77F7D4" w:rsidR="00EB620B" w:rsidRPr="0018112A" w:rsidRDefault="00EB620B" w:rsidP="0018112A">
      <w:pPr>
        <w:pStyle w:val="FootnoteText"/>
        <w:spacing w:after="0" w:line="240" w:lineRule="auto"/>
        <w:jc w:val="both"/>
        <w:rPr>
          <w:rFonts w:ascii="Times New Roman" w:hAnsi="Times New Roman"/>
          <w:lang w:eastAsia="ko-KR"/>
        </w:rPr>
      </w:pPr>
      <w:r w:rsidRPr="0018112A">
        <w:rPr>
          <w:rStyle w:val="FootnoteReference"/>
          <w:rFonts w:ascii="Times New Roman" w:hAnsi="Times New Roman"/>
        </w:rPr>
        <w:footnoteRef/>
      </w:r>
      <w:r w:rsidRPr="0018112A">
        <w:rPr>
          <w:rFonts w:ascii="Times New Roman" w:hAnsi="Times New Roman"/>
        </w:rPr>
        <w:t xml:space="preserve"> </w:t>
      </w:r>
      <w:r w:rsidR="0018112A" w:rsidRPr="0018112A">
        <w:rPr>
          <w:rFonts w:ascii="Times New Roman" w:hAnsi="Times New Roman"/>
          <w:lang w:eastAsia="ko-KR"/>
        </w:rPr>
        <w:t>Số liệu từ 01/6/2022 - 31/12/2022 do miễn thu phí trong 06 tháng đầu năm 2022 (kể từ ngày 01/01/2022 đến ngày 30/6/2022)</w:t>
      </w:r>
      <w:r w:rsidR="0018112A">
        <w:rPr>
          <w:rFonts w:ascii="Times New Roman" w:hAnsi="Times New Roman"/>
          <w:lang w:eastAsia="ko-KR"/>
        </w:rPr>
        <w:t xml:space="preserve"> theo khoản 2 Điều 2 Nghị quyết số 59/2021/NQ-HĐND ngày 17/12/2021 của HĐND thành phố Đà Nẵng</w:t>
      </w:r>
    </w:p>
  </w:footnote>
  <w:footnote w:id="2">
    <w:p w14:paraId="31912A99" w14:textId="54710203" w:rsidR="00204CC8" w:rsidRPr="006B1C07" w:rsidRDefault="00204CC8" w:rsidP="006B1C07">
      <w:pPr>
        <w:pStyle w:val="FootnoteText"/>
        <w:spacing w:after="0"/>
        <w:jc w:val="both"/>
        <w:rPr>
          <w:rFonts w:ascii="Times New Roman" w:eastAsia="Malgun Gothic" w:hAnsi="Times New Roman"/>
          <w:lang w:eastAsia="ko-KR"/>
        </w:rPr>
      </w:pPr>
      <w:r w:rsidRPr="006B1C07">
        <w:rPr>
          <w:rStyle w:val="FootnoteReference"/>
          <w:rFonts w:ascii="Times New Roman" w:hAnsi="Times New Roman"/>
        </w:rPr>
        <w:footnoteRef/>
      </w:r>
      <w:r w:rsidRPr="006B1C07">
        <w:rPr>
          <w:rFonts w:ascii="Times New Roman" w:hAnsi="Times New Roman"/>
        </w:rPr>
        <w:t xml:space="preserve"> </w:t>
      </w:r>
      <w:r w:rsidRPr="006B1C07">
        <w:rPr>
          <w:rFonts w:ascii="Times New Roman" w:eastAsia="Malgun Gothic" w:hAnsi="Times New Roman"/>
          <w:lang w:eastAsia="ko-KR"/>
        </w:rPr>
        <w:t xml:space="preserve">Tính </w:t>
      </w:r>
      <w:r w:rsidRPr="00333D74">
        <w:rPr>
          <w:rFonts w:ascii="Times New Roman" w:eastAsia="Malgun Gothic" w:hAnsi="Times New Roman"/>
          <w:lang w:eastAsia="ko-KR"/>
        </w:rPr>
        <w:t>đến 31/5/2025</w:t>
      </w:r>
    </w:p>
  </w:footnote>
  <w:footnote w:id="3">
    <w:p w14:paraId="4D1E8DC3" w14:textId="135E23B5" w:rsidR="009932C4" w:rsidRPr="00716D9E" w:rsidRDefault="009932C4" w:rsidP="00716D9E">
      <w:pPr>
        <w:pStyle w:val="FootnoteText"/>
        <w:spacing w:after="0" w:line="240" w:lineRule="auto"/>
        <w:jc w:val="both"/>
        <w:rPr>
          <w:rFonts w:ascii="Times New Roman" w:hAnsi="Times New Roman"/>
          <w:lang w:eastAsia="ko-KR"/>
        </w:rPr>
      </w:pPr>
      <w:r w:rsidRPr="00716D9E">
        <w:rPr>
          <w:rStyle w:val="FootnoteReference"/>
          <w:rFonts w:ascii="Times New Roman" w:hAnsi="Times New Roman"/>
        </w:rPr>
        <w:footnoteRef/>
      </w:r>
      <w:r w:rsidRPr="00716D9E">
        <w:rPr>
          <w:rFonts w:ascii="Times New Roman" w:hAnsi="Times New Roman"/>
        </w:rPr>
        <w:t xml:space="preserve"> </w:t>
      </w:r>
      <w:r>
        <w:rPr>
          <w:rFonts w:ascii="Times New Roman" w:hAnsi="Times New Roman"/>
        </w:rPr>
        <w:t xml:space="preserve">Tính từ ngày 01/6/2022 đến ngày 31/12/2022, </w:t>
      </w:r>
      <w:r w:rsidRPr="00BC564E">
        <w:rPr>
          <w:rFonts w:ascii="Times New Roman" w:hAnsi="Times New Roman"/>
        </w:rPr>
        <w:t xml:space="preserve">giảm 50% mức thu phí cấp, cấp lại, điều chỉnh </w:t>
      </w:r>
      <w:r>
        <w:rPr>
          <w:rFonts w:ascii="Times New Roman" w:hAnsi="Times New Roman"/>
        </w:rPr>
        <w:t xml:space="preserve">GPMT </w:t>
      </w:r>
      <w:r w:rsidRPr="00BC564E">
        <w:rPr>
          <w:rFonts w:ascii="Times New Roman" w:hAnsi="Times New Roman"/>
        </w:rPr>
        <w:t xml:space="preserve">của nhóm Dự án đầu tư, cơ sở được tiếp nhận và trả kết quả cấp </w:t>
      </w:r>
      <w:r>
        <w:rPr>
          <w:rFonts w:ascii="Times New Roman" w:hAnsi="Times New Roman"/>
        </w:rPr>
        <w:t>GPMT</w:t>
      </w:r>
      <w:r w:rsidRPr="00BC564E">
        <w:rPr>
          <w:rFonts w:ascii="Times New Roman" w:hAnsi="Times New Roman"/>
        </w:rPr>
        <w:t xml:space="preserve"> qua hệ thống dịch vụ công trực tuyến mức độ 4 của cấp huyện và cấp tỉnh theo Nghị quyết số 47/2021/NQ-HĐND ngày 08 tháng 12 năm 2021 của </w:t>
      </w:r>
      <w:r>
        <w:rPr>
          <w:rFonts w:ascii="Times New Roman" w:hAnsi="Times New Roman"/>
        </w:rPr>
        <w:t>HĐND</w:t>
      </w:r>
      <w:r w:rsidRPr="00BC564E">
        <w:rPr>
          <w:rFonts w:ascii="Times New Roman" w:hAnsi="Times New Roman"/>
        </w:rPr>
        <w:t xml:space="preserve"> tỉnh</w:t>
      </w:r>
      <w:r>
        <w:rPr>
          <w:rFonts w:ascii="Times New Roman" w:hAnsi="Times New Roman"/>
        </w:rPr>
        <w:t xml:space="preserve"> (khoản 2 Điều 4 Nghị quyết số 07/2022/NQ-HĐND ngày 21/4/2022 của HĐND tỉnh Quảng Nam)</w:t>
      </w:r>
    </w:p>
  </w:footnote>
  <w:footnote w:id="4">
    <w:p w14:paraId="15397E94" w14:textId="77777777" w:rsidR="009932C4" w:rsidRPr="00716D9E" w:rsidRDefault="009932C4" w:rsidP="00716D9E">
      <w:pPr>
        <w:pStyle w:val="FootnoteText"/>
        <w:jc w:val="both"/>
        <w:rPr>
          <w:rFonts w:ascii="Times New Roman" w:hAnsi="Times New Roman"/>
          <w:lang w:eastAsia="ko-KR"/>
        </w:rPr>
      </w:pPr>
      <w:r w:rsidRPr="00716D9E">
        <w:rPr>
          <w:rStyle w:val="FootnoteReference"/>
          <w:rFonts w:ascii="Times New Roman" w:hAnsi="Times New Roman"/>
        </w:rPr>
        <w:footnoteRef/>
      </w:r>
      <w:r w:rsidRPr="00716D9E">
        <w:rPr>
          <w:rFonts w:ascii="Times New Roman" w:hAnsi="Times New Roman"/>
        </w:rPr>
        <w:t xml:space="preserve"> </w:t>
      </w:r>
      <w:r w:rsidRPr="00716D9E">
        <w:rPr>
          <w:rFonts w:ascii="Times New Roman" w:hAnsi="Times New Roman"/>
          <w:lang w:eastAsia="ko-KR"/>
        </w:rPr>
        <w:t>Tính đến ngày 30/5/2025</w:t>
      </w:r>
    </w:p>
  </w:footnote>
  <w:footnote w:id="5">
    <w:p w14:paraId="45AFBB7F" w14:textId="32AA0816" w:rsidR="00430612" w:rsidRPr="0076587D" w:rsidRDefault="00430612" w:rsidP="00930A38">
      <w:pPr>
        <w:pStyle w:val="FootnoteText"/>
        <w:spacing w:after="0" w:line="240" w:lineRule="auto"/>
        <w:jc w:val="both"/>
        <w:rPr>
          <w:rFonts w:ascii="Times New Roman" w:hAnsi="Times New Roman"/>
          <w:lang w:eastAsia="ko-KR"/>
        </w:rPr>
      </w:pPr>
      <w:r w:rsidRPr="0076587D">
        <w:rPr>
          <w:rStyle w:val="FootnoteReference"/>
          <w:rFonts w:ascii="Times New Roman" w:hAnsi="Times New Roman"/>
        </w:rPr>
        <w:footnoteRef/>
      </w:r>
      <w:r w:rsidRPr="0076587D">
        <w:rPr>
          <w:rFonts w:ascii="Times New Roman" w:hAnsi="Times New Roman"/>
        </w:rPr>
        <w:t xml:space="preserve"> </w:t>
      </w:r>
      <w:r w:rsidR="00645F9C">
        <w:rPr>
          <w:rFonts w:ascii="Times New Roman" w:hAnsi="Times New Roman"/>
          <w:lang w:eastAsia="ko-KR"/>
        </w:rPr>
        <w:t xml:space="preserve">Quyết định số </w:t>
      </w:r>
      <w:r w:rsidR="001838AB">
        <w:rPr>
          <w:rFonts w:ascii="Times New Roman" w:hAnsi="Times New Roman"/>
          <w:lang w:eastAsia="ko-KR"/>
        </w:rPr>
        <w:t>208/QĐ-SNNMT ngày 02/4/2025 của Sở Nông nghiệp và Môi trường tỉnh Quảng Nam Phân bổ, điều chỉnh dự toán năm 2025 của các cơ quan, đơn vị do sắp xếp tổ chức, bộ máy từ Sở Nông nghiệp và PTNT (cũ), Sở Tài nguyên và Môi trường (cũ) và Sở Lao động - Thương binh và Xã hội (cũ)</w:t>
      </w:r>
    </w:p>
  </w:footnote>
  <w:footnote w:id="6">
    <w:p w14:paraId="67DE7CFF" w14:textId="77777777" w:rsidR="001C186A" w:rsidRPr="00972743" w:rsidRDefault="001C186A" w:rsidP="001C186A">
      <w:pPr>
        <w:pStyle w:val="FootnoteText"/>
        <w:rPr>
          <w:rFonts w:ascii="Times New Roman" w:hAnsi="Times New Roman"/>
        </w:rPr>
      </w:pPr>
      <w:r w:rsidRPr="00E75389">
        <w:rPr>
          <w:rStyle w:val="FootnoteReference"/>
          <w:rFonts w:ascii="Times New Roman" w:hAnsi="Times New Roman"/>
        </w:rPr>
        <w:footnoteRef/>
      </w:r>
      <w:r w:rsidRPr="00972743">
        <w:rPr>
          <w:rFonts w:ascii="Times New Roman" w:hAnsi="Times New Roman"/>
        </w:rPr>
        <w:t xml:space="preserve"> Mẫu Báo cáo đề xuất cấp, cấp lại giấy phép môi trường của cơ sở đang hoạt động quy định tại Phụ lục X Nghị định số 08/2022/NĐ-CP được sửa đổi bổ sung tại khoản 56 Điều 1 Nghị định số 05/2025/NĐ-CP.</w:t>
      </w:r>
    </w:p>
  </w:footnote>
  <w:footnote w:id="7">
    <w:p w14:paraId="6309D8F9" w14:textId="14DBDCDE" w:rsidR="0076184C" w:rsidRPr="0076184C" w:rsidRDefault="0076184C" w:rsidP="0076184C">
      <w:pPr>
        <w:pStyle w:val="FootnoteText"/>
        <w:spacing w:after="0" w:line="240" w:lineRule="auto"/>
        <w:jc w:val="both"/>
        <w:rPr>
          <w:rFonts w:ascii="Times New Roman" w:hAnsi="Times New Roman"/>
          <w:lang w:eastAsia="ko-KR"/>
        </w:rPr>
      </w:pPr>
      <w:r w:rsidRPr="0076184C">
        <w:rPr>
          <w:rStyle w:val="FootnoteReference"/>
          <w:rFonts w:ascii="Times New Roman" w:hAnsi="Times New Roman"/>
        </w:rPr>
        <w:footnoteRef/>
      </w:r>
      <w:r w:rsidRPr="0076184C">
        <w:rPr>
          <w:rFonts w:ascii="Times New Roman" w:hAnsi="Times New Roman"/>
        </w:rPr>
        <w:t xml:space="preserve"> </w:t>
      </w:r>
      <w:r w:rsidRPr="0076184C">
        <w:rPr>
          <w:rFonts w:ascii="Times New Roman" w:hAnsi="Times New Roman"/>
          <w:lang w:eastAsia="ko-KR"/>
        </w:rPr>
        <w:t>Hiện nay Ban Quản lý các Khu kinh tế và khu công nghiệp tỉnh Quảng Nam</w:t>
      </w:r>
      <w:r>
        <w:rPr>
          <w:rFonts w:ascii="Times New Roman" w:hAnsi="Times New Roman"/>
          <w:lang w:eastAsia="ko-KR"/>
        </w:rPr>
        <w:t xml:space="preserve"> đang trình UBND tỉnh Quảng Nam ủy quyền thẩm định báo cáo ĐTM, cấp, cấp lại, cấp điều chỉnh, cấp đổi, thu hồi GPMT trong các khu kinh tế, khu công nghiệp trên địa bàn tỉnh Quảng Nam</w:t>
      </w:r>
    </w:p>
  </w:footnote>
  <w:footnote w:id="8">
    <w:p w14:paraId="664175CB" w14:textId="3C45FB28" w:rsidR="00E14A46" w:rsidRPr="00E14A46" w:rsidRDefault="00E14A46" w:rsidP="00E14A46">
      <w:pPr>
        <w:pStyle w:val="FootnoteText"/>
        <w:spacing w:after="0"/>
        <w:jc w:val="both"/>
        <w:rPr>
          <w:rFonts w:ascii="Times New Roman" w:hAnsi="Times New Roman"/>
          <w:lang w:eastAsia="ko-KR"/>
        </w:rPr>
      </w:pPr>
      <w:r w:rsidRPr="00E14A46">
        <w:rPr>
          <w:rStyle w:val="FootnoteReference"/>
          <w:rFonts w:ascii="Times New Roman" w:hAnsi="Times New Roman"/>
        </w:rPr>
        <w:footnoteRef/>
      </w:r>
      <w:r w:rsidRPr="00E14A46">
        <w:rPr>
          <w:rFonts w:ascii="Times New Roman" w:hAnsi="Times New Roman"/>
        </w:rPr>
        <w:t xml:space="preserve"> </w:t>
      </w:r>
      <w:r w:rsidRPr="00E14A46">
        <w:rPr>
          <w:rFonts w:ascii="Times New Roman" w:hAnsi="Times New Roman"/>
          <w:lang w:eastAsia="ko-KR"/>
        </w:rPr>
        <w:t xml:space="preserve">Theo Công văn số 166/CCBVMT-TH ngày 15/5/2025 của Chi cục Bảo vệ môi trường tỉnh Quảng Nam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9379756"/>
      <w:docPartObj>
        <w:docPartGallery w:val="Page Numbers (Top of Page)"/>
        <w:docPartUnique/>
      </w:docPartObj>
    </w:sdtPr>
    <w:sdtEndPr>
      <w:rPr>
        <w:rStyle w:val="PageNumber"/>
      </w:rPr>
    </w:sdtEndPr>
    <w:sdtContent>
      <w:p w14:paraId="32322A6F" w14:textId="77777777" w:rsidR="00F23375" w:rsidRDefault="00F23375" w:rsidP="007109EF">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92B2C6" w14:textId="77777777" w:rsidR="00F23375" w:rsidRDefault="00F233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09252579"/>
      <w:docPartObj>
        <w:docPartGallery w:val="Page Numbers (Top of Page)"/>
        <w:docPartUnique/>
      </w:docPartObj>
    </w:sdtPr>
    <w:sdtEndPr>
      <w:rPr>
        <w:rStyle w:val="PageNumber"/>
        <w:sz w:val="24"/>
      </w:rPr>
    </w:sdtEndPr>
    <w:sdtContent>
      <w:p w14:paraId="29F7FE79" w14:textId="77777777" w:rsidR="00F23375" w:rsidRPr="007C5D7A" w:rsidRDefault="00F23375" w:rsidP="007109EF">
        <w:pPr>
          <w:pStyle w:val="Header"/>
          <w:framePr w:wrap="none" w:vAnchor="text" w:hAnchor="margin" w:xAlign="center" w:y="1"/>
          <w:rPr>
            <w:rStyle w:val="PageNumber"/>
            <w:sz w:val="24"/>
          </w:rPr>
        </w:pPr>
        <w:r w:rsidRPr="007C5D7A">
          <w:rPr>
            <w:rStyle w:val="PageNumber"/>
            <w:sz w:val="24"/>
          </w:rPr>
          <w:fldChar w:fldCharType="begin"/>
        </w:r>
        <w:r w:rsidRPr="007C5D7A">
          <w:rPr>
            <w:rStyle w:val="PageNumber"/>
            <w:sz w:val="24"/>
          </w:rPr>
          <w:instrText xml:space="preserve"> PAGE </w:instrText>
        </w:r>
        <w:r w:rsidRPr="007C5D7A">
          <w:rPr>
            <w:rStyle w:val="PageNumber"/>
            <w:sz w:val="24"/>
          </w:rPr>
          <w:fldChar w:fldCharType="separate"/>
        </w:r>
        <w:r w:rsidR="00DC2B50">
          <w:rPr>
            <w:rStyle w:val="PageNumber"/>
            <w:noProof/>
            <w:sz w:val="24"/>
          </w:rPr>
          <w:t>4</w:t>
        </w:r>
        <w:r w:rsidRPr="007C5D7A">
          <w:rPr>
            <w:rStyle w:val="PageNumber"/>
            <w:sz w:val="24"/>
          </w:rPr>
          <w:fldChar w:fldCharType="end"/>
        </w:r>
      </w:p>
    </w:sdtContent>
  </w:sdt>
  <w:p w14:paraId="29EA239A" w14:textId="77777777" w:rsidR="00F23375" w:rsidRDefault="00F233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E05D3"/>
    <w:multiLevelType w:val="hybridMultilevel"/>
    <w:tmpl w:val="84926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985A00"/>
    <w:multiLevelType w:val="hybridMultilevel"/>
    <w:tmpl w:val="BB0C6124"/>
    <w:lvl w:ilvl="0" w:tplc="AB2E98F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C966D85"/>
    <w:multiLevelType w:val="hybridMultilevel"/>
    <w:tmpl w:val="87A8D4E2"/>
    <w:lvl w:ilvl="0" w:tplc="4FC6E67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0964AD4"/>
    <w:multiLevelType w:val="hybridMultilevel"/>
    <w:tmpl w:val="78D27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630744"/>
    <w:multiLevelType w:val="multilevel"/>
    <w:tmpl w:val="CA2C877A"/>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CBD5C7A"/>
    <w:multiLevelType w:val="hybridMultilevel"/>
    <w:tmpl w:val="9FB2E6E2"/>
    <w:lvl w:ilvl="0" w:tplc="B4E8D1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40D90A23"/>
    <w:multiLevelType w:val="hybridMultilevel"/>
    <w:tmpl w:val="D8A85496"/>
    <w:lvl w:ilvl="0" w:tplc="08C4AD24">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52041A6B"/>
    <w:multiLevelType w:val="hybridMultilevel"/>
    <w:tmpl w:val="EA9E34F0"/>
    <w:lvl w:ilvl="0" w:tplc="B9848C0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F404EA"/>
    <w:multiLevelType w:val="hybridMultilevel"/>
    <w:tmpl w:val="4DAA0008"/>
    <w:lvl w:ilvl="0" w:tplc="03D6879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5BF17268"/>
    <w:multiLevelType w:val="hybridMultilevel"/>
    <w:tmpl w:val="CE7AB5D4"/>
    <w:lvl w:ilvl="0" w:tplc="B3ECE2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60FA2CF0"/>
    <w:multiLevelType w:val="hybridMultilevel"/>
    <w:tmpl w:val="EA404626"/>
    <w:lvl w:ilvl="0" w:tplc="3476E9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80E2945"/>
    <w:multiLevelType w:val="hybridMultilevel"/>
    <w:tmpl w:val="AD40138E"/>
    <w:lvl w:ilvl="0" w:tplc="1444BC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D1971D3"/>
    <w:multiLevelType w:val="multilevel"/>
    <w:tmpl w:val="DBA251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2"/>
  </w:num>
  <w:num w:numId="3">
    <w:abstractNumId w:val="7"/>
  </w:num>
  <w:num w:numId="4">
    <w:abstractNumId w:val="3"/>
  </w:num>
  <w:num w:numId="5">
    <w:abstractNumId w:val="0"/>
  </w:num>
  <w:num w:numId="6">
    <w:abstractNumId w:val="10"/>
  </w:num>
  <w:num w:numId="7">
    <w:abstractNumId w:val="8"/>
  </w:num>
  <w:num w:numId="8">
    <w:abstractNumId w:val="1"/>
  </w:num>
  <w:num w:numId="9">
    <w:abstractNumId w:val="9"/>
  </w:num>
  <w:num w:numId="10">
    <w:abstractNumId w:val="2"/>
  </w:num>
  <w:num w:numId="11">
    <w:abstractNumId w:val="5"/>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7C3"/>
    <w:rsid w:val="000024D9"/>
    <w:rsid w:val="00002D10"/>
    <w:rsid w:val="0001635F"/>
    <w:rsid w:val="0002068A"/>
    <w:rsid w:val="00020F82"/>
    <w:rsid w:val="00025D2C"/>
    <w:rsid w:val="00026A10"/>
    <w:rsid w:val="0003069E"/>
    <w:rsid w:val="0003447A"/>
    <w:rsid w:val="00034E9E"/>
    <w:rsid w:val="00041400"/>
    <w:rsid w:val="000523E4"/>
    <w:rsid w:val="00070968"/>
    <w:rsid w:val="00080E3A"/>
    <w:rsid w:val="000853AF"/>
    <w:rsid w:val="000917DF"/>
    <w:rsid w:val="000A0F59"/>
    <w:rsid w:val="000A1119"/>
    <w:rsid w:val="000B75B8"/>
    <w:rsid w:val="000C33A8"/>
    <w:rsid w:val="000C3E73"/>
    <w:rsid w:val="000D123E"/>
    <w:rsid w:val="000D49E4"/>
    <w:rsid w:val="000E1567"/>
    <w:rsid w:val="000E2A77"/>
    <w:rsid w:val="000F4153"/>
    <w:rsid w:val="000F4BA1"/>
    <w:rsid w:val="000F7F4B"/>
    <w:rsid w:val="00105A24"/>
    <w:rsid w:val="00105F7C"/>
    <w:rsid w:val="00106BB1"/>
    <w:rsid w:val="00114A36"/>
    <w:rsid w:val="00116C52"/>
    <w:rsid w:val="00121587"/>
    <w:rsid w:val="001303F3"/>
    <w:rsid w:val="00132E00"/>
    <w:rsid w:val="00143A2D"/>
    <w:rsid w:val="0014594A"/>
    <w:rsid w:val="00146BD9"/>
    <w:rsid w:val="001568F8"/>
    <w:rsid w:val="00161576"/>
    <w:rsid w:val="00166088"/>
    <w:rsid w:val="0017169F"/>
    <w:rsid w:val="001739B9"/>
    <w:rsid w:val="0017708F"/>
    <w:rsid w:val="00180817"/>
    <w:rsid w:val="0018112A"/>
    <w:rsid w:val="00183594"/>
    <w:rsid w:val="001838AB"/>
    <w:rsid w:val="001905E8"/>
    <w:rsid w:val="001A3358"/>
    <w:rsid w:val="001A6569"/>
    <w:rsid w:val="001B41E2"/>
    <w:rsid w:val="001C186A"/>
    <w:rsid w:val="001C30EA"/>
    <w:rsid w:val="001D32AD"/>
    <w:rsid w:val="001D5318"/>
    <w:rsid w:val="001D56EE"/>
    <w:rsid w:val="001E458F"/>
    <w:rsid w:val="001E5463"/>
    <w:rsid w:val="001F1E7C"/>
    <w:rsid w:val="001F32C7"/>
    <w:rsid w:val="001F4691"/>
    <w:rsid w:val="00202DC7"/>
    <w:rsid w:val="00204CC8"/>
    <w:rsid w:val="00210DCF"/>
    <w:rsid w:val="00212A58"/>
    <w:rsid w:val="00216AC8"/>
    <w:rsid w:val="00216E13"/>
    <w:rsid w:val="00217633"/>
    <w:rsid w:val="00217B99"/>
    <w:rsid w:val="00231CB2"/>
    <w:rsid w:val="002351E8"/>
    <w:rsid w:val="00240096"/>
    <w:rsid w:val="00243F28"/>
    <w:rsid w:val="00251325"/>
    <w:rsid w:val="0025743E"/>
    <w:rsid w:val="00271463"/>
    <w:rsid w:val="00286F22"/>
    <w:rsid w:val="00294FF9"/>
    <w:rsid w:val="002A6118"/>
    <w:rsid w:val="002B3941"/>
    <w:rsid w:val="002C1EDF"/>
    <w:rsid w:val="002C44CE"/>
    <w:rsid w:val="002C56A9"/>
    <w:rsid w:val="002D4B8C"/>
    <w:rsid w:val="002E1F6A"/>
    <w:rsid w:val="002E258A"/>
    <w:rsid w:val="002E3D15"/>
    <w:rsid w:val="002F12AB"/>
    <w:rsid w:val="002F1430"/>
    <w:rsid w:val="002F3A8C"/>
    <w:rsid w:val="002F7473"/>
    <w:rsid w:val="003020F2"/>
    <w:rsid w:val="003024EF"/>
    <w:rsid w:val="00312AB6"/>
    <w:rsid w:val="003161F4"/>
    <w:rsid w:val="00317B5A"/>
    <w:rsid w:val="0032163E"/>
    <w:rsid w:val="003219FA"/>
    <w:rsid w:val="0032315D"/>
    <w:rsid w:val="00323405"/>
    <w:rsid w:val="00325B07"/>
    <w:rsid w:val="00326B65"/>
    <w:rsid w:val="00333D74"/>
    <w:rsid w:val="00335572"/>
    <w:rsid w:val="003410D7"/>
    <w:rsid w:val="00344CA5"/>
    <w:rsid w:val="00346616"/>
    <w:rsid w:val="00371064"/>
    <w:rsid w:val="003730AD"/>
    <w:rsid w:val="00373249"/>
    <w:rsid w:val="003745BF"/>
    <w:rsid w:val="00375956"/>
    <w:rsid w:val="003778D2"/>
    <w:rsid w:val="00380CDB"/>
    <w:rsid w:val="00381B9D"/>
    <w:rsid w:val="0038264D"/>
    <w:rsid w:val="00387C43"/>
    <w:rsid w:val="00390EE5"/>
    <w:rsid w:val="003918E4"/>
    <w:rsid w:val="00393A5F"/>
    <w:rsid w:val="003954ED"/>
    <w:rsid w:val="003A11CD"/>
    <w:rsid w:val="003C02B9"/>
    <w:rsid w:val="003C3579"/>
    <w:rsid w:val="003C70C4"/>
    <w:rsid w:val="003D57C3"/>
    <w:rsid w:val="003E0B39"/>
    <w:rsid w:val="003E4457"/>
    <w:rsid w:val="003F1979"/>
    <w:rsid w:val="0040658C"/>
    <w:rsid w:val="00406BED"/>
    <w:rsid w:val="00411424"/>
    <w:rsid w:val="00414160"/>
    <w:rsid w:val="004141D9"/>
    <w:rsid w:val="00414CEA"/>
    <w:rsid w:val="00415FC3"/>
    <w:rsid w:val="00415FF7"/>
    <w:rsid w:val="004215EA"/>
    <w:rsid w:val="004225FC"/>
    <w:rsid w:val="004234F0"/>
    <w:rsid w:val="0042577A"/>
    <w:rsid w:val="00430612"/>
    <w:rsid w:val="00453CFB"/>
    <w:rsid w:val="00454E9F"/>
    <w:rsid w:val="00470968"/>
    <w:rsid w:val="004732D0"/>
    <w:rsid w:val="004732F6"/>
    <w:rsid w:val="00477D05"/>
    <w:rsid w:val="00495D2A"/>
    <w:rsid w:val="00496B78"/>
    <w:rsid w:val="004A4A90"/>
    <w:rsid w:val="004A5552"/>
    <w:rsid w:val="004B4702"/>
    <w:rsid w:val="004C0F09"/>
    <w:rsid w:val="004C2E4A"/>
    <w:rsid w:val="004C4178"/>
    <w:rsid w:val="004D27CB"/>
    <w:rsid w:val="004D3B31"/>
    <w:rsid w:val="004E5278"/>
    <w:rsid w:val="004F5E20"/>
    <w:rsid w:val="00500C70"/>
    <w:rsid w:val="00503F66"/>
    <w:rsid w:val="005054E8"/>
    <w:rsid w:val="00516A6E"/>
    <w:rsid w:val="00521FF2"/>
    <w:rsid w:val="00543369"/>
    <w:rsid w:val="005434CB"/>
    <w:rsid w:val="005543EE"/>
    <w:rsid w:val="00554F4A"/>
    <w:rsid w:val="00561AA0"/>
    <w:rsid w:val="00565C07"/>
    <w:rsid w:val="00574055"/>
    <w:rsid w:val="00575A9D"/>
    <w:rsid w:val="00577A6D"/>
    <w:rsid w:val="005807B1"/>
    <w:rsid w:val="005814D1"/>
    <w:rsid w:val="005873E6"/>
    <w:rsid w:val="00597D61"/>
    <w:rsid w:val="005A3582"/>
    <w:rsid w:val="005A6F60"/>
    <w:rsid w:val="005A76FB"/>
    <w:rsid w:val="005B1791"/>
    <w:rsid w:val="005C093D"/>
    <w:rsid w:val="005C5308"/>
    <w:rsid w:val="005D3AC4"/>
    <w:rsid w:val="005D6AD0"/>
    <w:rsid w:val="005F2B8C"/>
    <w:rsid w:val="005F672D"/>
    <w:rsid w:val="005F766C"/>
    <w:rsid w:val="005F7EF0"/>
    <w:rsid w:val="00603018"/>
    <w:rsid w:val="006066BD"/>
    <w:rsid w:val="0060732F"/>
    <w:rsid w:val="00611934"/>
    <w:rsid w:val="00611A67"/>
    <w:rsid w:val="00613B23"/>
    <w:rsid w:val="00614153"/>
    <w:rsid w:val="0061608B"/>
    <w:rsid w:val="00621A67"/>
    <w:rsid w:val="00623FC7"/>
    <w:rsid w:val="006269BE"/>
    <w:rsid w:val="006321DF"/>
    <w:rsid w:val="00642BCC"/>
    <w:rsid w:val="00642D93"/>
    <w:rsid w:val="00643D13"/>
    <w:rsid w:val="00645F9C"/>
    <w:rsid w:val="00652EEE"/>
    <w:rsid w:val="0066142B"/>
    <w:rsid w:val="0066705F"/>
    <w:rsid w:val="006747C0"/>
    <w:rsid w:val="006762AB"/>
    <w:rsid w:val="006812CE"/>
    <w:rsid w:val="00682084"/>
    <w:rsid w:val="006839CD"/>
    <w:rsid w:val="00694E38"/>
    <w:rsid w:val="0069539B"/>
    <w:rsid w:val="006A16EA"/>
    <w:rsid w:val="006A1A4F"/>
    <w:rsid w:val="006B1C07"/>
    <w:rsid w:val="006B2D59"/>
    <w:rsid w:val="006B384F"/>
    <w:rsid w:val="006C04CB"/>
    <w:rsid w:val="006D07AA"/>
    <w:rsid w:val="006E0C60"/>
    <w:rsid w:val="006E68D7"/>
    <w:rsid w:val="007004AE"/>
    <w:rsid w:val="00710503"/>
    <w:rsid w:val="00713126"/>
    <w:rsid w:val="00716D9E"/>
    <w:rsid w:val="00723442"/>
    <w:rsid w:val="00732A33"/>
    <w:rsid w:val="007334D3"/>
    <w:rsid w:val="0074492C"/>
    <w:rsid w:val="007514E1"/>
    <w:rsid w:val="00754CD0"/>
    <w:rsid w:val="00755E8C"/>
    <w:rsid w:val="0076092F"/>
    <w:rsid w:val="0076184C"/>
    <w:rsid w:val="00763332"/>
    <w:rsid w:val="0076587D"/>
    <w:rsid w:val="00772EE0"/>
    <w:rsid w:val="00781D10"/>
    <w:rsid w:val="0079145B"/>
    <w:rsid w:val="007937F1"/>
    <w:rsid w:val="00793C99"/>
    <w:rsid w:val="007A0569"/>
    <w:rsid w:val="007A079B"/>
    <w:rsid w:val="007B1285"/>
    <w:rsid w:val="007B2AA0"/>
    <w:rsid w:val="007B3DCD"/>
    <w:rsid w:val="007B7CC9"/>
    <w:rsid w:val="007C0537"/>
    <w:rsid w:val="007C082E"/>
    <w:rsid w:val="007C357E"/>
    <w:rsid w:val="007C40D3"/>
    <w:rsid w:val="007C5D7A"/>
    <w:rsid w:val="007D275D"/>
    <w:rsid w:val="007E2508"/>
    <w:rsid w:val="007E3E1B"/>
    <w:rsid w:val="007E565C"/>
    <w:rsid w:val="007E5BE9"/>
    <w:rsid w:val="007F2221"/>
    <w:rsid w:val="008150F3"/>
    <w:rsid w:val="00825706"/>
    <w:rsid w:val="00827A5C"/>
    <w:rsid w:val="00835181"/>
    <w:rsid w:val="00842317"/>
    <w:rsid w:val="00844CA3"/>
    <w:rsid w:val="00850256"/>
    <w:rsid w:val="008570A7"/>
    <w:rsid w:val="008607FC"/>
    <w:rsid w:val="00861A7A"/>
    <w:rsid w:val="00872149"/>
    <w:rsid w:val="00876EB7"/>
    <w:rsid w:val="00882839"/>
    <w:rsid w:val="00883FB3"/>
    <w:rsid w:val="00885580"/>
    <w:rsid w:val="0089373A"/>
    <w:rsid w:val="008937E3"/>
    <w:rsid w:val="0089420B"/>
    <w:rsid w:val="0089498C"/>
    <w:rsid w:val="008A3BA9"/>
    <w:rsid w:val="008A7AE9"/>
    <w:rsid w:val="008B2E30"/>
    <w:rsid w:val="008B3C5B"/>
    <w:rsid w:val="008B4D09"/>
    <w:rsid w:val="008D0F34"/>
    <w:rsid w:val="008D0F67"/>
    <w:rsid w:val="008E49D0"/>
    <w:rsid w:val="008E6692"/>
    <w:rsid w:val="008F7245"/>
    <w:rsid w:val="008F7616"/>
    <w:rsid w:val="0090204C"/>
    <w:rsid w:val="00912AEE"/>
    <w:rsid w:val="00930A38"/>
    <w:rsid w:val="009370C5"/>
    <w:rsid w:val="009428A7"/>
    <w:rsid w:val="00942FA5"/>
    <w:rsid w:val="0094592E"/>
    <w:rsid w:val="00972743"/>
    <w:rsid w:val="009765CF"/>
    <w:rsid w:val="00986679"/>
    <w:rsid w:val="0099197B"/>
    <w:rsid w:val="009932C4"/>
    <w:rsid w:val="00994E6E"/>
    <w:rsid w:val="00995E29"/>
    <w:rsid w:val="009A222C"/>
    <w:rsid w:val="009A58FA"/>
    <w:rsid w:val="009B2E9F"/>
    <w:rsid w:val="009B4941"/>
    <w:rsid w:val="009B5EBA"/>
    <w:rsid w:val="009C3E3E"/>
    <w:rsid w:val="009C55FA"/>
    <w:rsid w:val="009D225D"/>
    <w:rsid w:val="009D77C9"/>
    <w:rsid w:val="009E10D1"/>
    <w:rsid w:val="009E2189"/>
    <w:rsid w:val="009F3FB4"/>
    <w:rsid w:val="00A00B71"/>
    <w:rsid w:val="00A00DD6"/>
    <w:rsid w:val="00A01832"/>
    <w:rsid w:val="00A05ABF"/>
    <w:rsid w:val="00A20B46"/>
    <w:rsid w:val="00A267B2"/>
    <w:rsid w:val="00A27E33"/>
    <w:rsid w:val="00A33BDC"/>
    <w:rsid w:val="00A37186"/>
    <w:rsid w:val="00A4213E"/>
    <w:rsid w:val="00A54E4F"/>
    <w:rsid w:val="00A57929"/>
    <w:rsid w:val="00A57ACB"/>
    <w:rsid w:val="00A63A36"/>
    <w:rsid w:val="00A73E03"/>
    <w:rsid w:val="00A749C8"/>
    <w:rsid w:val="00A80EE5"/>
    <w:rsid w:val="00A90927"/>
    <w:rsid w:val="00AB0A47"/>
    <w:rsid w:val="00AB2C4B"/>
    <w:rsid w:val="00AB3E97"/>
    <w:rsid w:val="00AC39F7"/>
    <w:rsid w:val="00AF1911"/>
    <w:rsid w:val="00AF33E2"/>
    <w:rsid w:val="00AF7F0C"/>
    <w:rsid w:val="00B06960"/>
    <w:rsid w:val="00B17B27"/>
    <w:rsid w:val="00B225D6"/>
    <w:rsid w:val="00B22BE3"/>
    <w:rsid w:val="00B262C2"/>
    <w:rsid w:val="00B274DC"/>
    <w:rsid w:val="00B40FD6"/>
    <w:rsid w:val="00B42336"/>
    <w:rsid w:val="00B56FF4"/>
    <w:rsid w:val="00B661ED"/>
    <w:rsid w:val="00B724C7"/>
    <w:rsid w:val="00B72B70"/>
    <w:rsid w:val="00B77268"/>
    <w:rsid w:val="00B77584"/>
    <w:rsid w:val="00B77E8B"/>
    <w:rsid w:val="00B8257E"/>
    <w:rsid w:val="00BB0971"/>
    <w:rsid w:val="00BB7AEC"/>
    <w:rsid w:val="00BC2B65"/>
    <w:rsid w:val="00BC3270"/>
    <w:rsid w:val="00BC564E"/>
    <w:rsid w:val="00BC6472"/>
    <w:rsid w:val="00BC77D9"/>
    <w:rsid w:val="00BD427B"/>
    <w:rsid w:val="00C025A8"/>
    <w:rsid w:val="00C12449"/>
    <w:rsid w:val="00C15648"/>
    <w:rsid w:val="00C165A6"/>
    <w:rsid w:val="00C23BD1"/>
    <w:rsid w:val="00C34900"/>
    <w:rsid w:val="00C438FC"/>
    <w:rsid w:val="00C504A0"/>
    <w:rsid w:val="00C5659F"/>
    <w:rsid w:val="00C57FAF"/>
    <w:rsid w:val="00C60A50"/>
    <w:rsid w:val="00C71B19"/>
    <w:rsid w:val="00C80452"/>
    <w:rsid w:val="00C81F93"/>
    <w:rsid w:val="00C869A9"/>
    <w:rsid w:val="00C93108"/>
    <w:rsid w:val="00CB0CB2"/>
    <w:rsid w:val="00CB5595"/>
    <w:rsid w:val="00CC13DE"/>
    <w:rsid w:val="00CD33F7"/>
    <w:rsid w:val="00CE5395"/>
    <w:rsid w:val="00CF08E5"/>
    <w:rsid w:val="00CF1B86"/>
    <w:rsid w:val="00CF307E"/>
    <w:rsid w:val="00CF40C1"/>
    <w:rsid w:val="00D03AA5"/>
    <w:rsid w:val="00D11ADD"/>
    <w:rsid w:val="00D13DDE"/>
    <w:rsid w:val="00D22C4A"/>
    <w:rsid w:val="00D2585B"/>
    <w:rsid w:val="00D30932"/>
    <w:rsid w:val="00D35BC0"/>
    <w:rsid w:val="00D40E23"/>
    <w:rsid w:val="00D4591A"/>
    <w:rsid w:val="00D46964"/>
    <w:rsid w:val="00D47C44"/>
    <w:rsid w:val="00D52063"/>
    <w:rsid w:val="00D5444E"/>
    <w:rsid w:val="00D55088"/>
    <w:rsid w:val="00D5688E"/>
    <w:rsid w:val="00D57293"/>
    <w:rsid w:val="00D6093F"/>
    <w:rsid w:val="00D60A2C"/>
    <w:rsid w:val="00D64FCC"/>
    <w:rsid w:val="00D73B32"/>
    <w:rsid w:val="00D74060"/>
    <w:rsid w:val="00D769A8"/>
    <w:rsid w:val="00D77E5B"/>
    <w:rsid w:val="00D814E5"/>
    <w:rsid w:val="00D83C00"/>
    <w:rsid w:val="00D8644D"/>
    <w:rsid w:val="00D86F22"/>
    <w:rsid w:val="00D921B5"/>
    <w:rsid w:val="00D92A48"/>
    <w:rsid w:val="00D93305"/>
    <w:rsid w:val="00D941A9"/>
    <w:rsid w:val="00DA20E8"/>
    <w:rsid w:val="00DA22E7"/>
    <w:rsid w:val="00DA48F9"/>
    <w:rsid w:val="00DC2B50"/>
    <w:rsid w:val="00DC3D51"/>
    <w:rsid w:val="00DD1FFA"/>
    <w:rsid w:val="00DD6109"/>
    <w:rsid w:val="00DE577F"/>
    <w:rsid w:val="00DE5A37"/>
    <w:rsid w:val="00DE6E90"/>
    <w:rsid w:val="00DF3015"/>
    <w:rsid w:val="00DF7CB9"/>
    <w:rsid w:val="00E06053"/>
    <w:rsid w:val="00E06D50"/>
    <w:rsid w:val="00E149D8"/>
    <w:rsid w:val="00E14A46"/>
    <w:rsid w:val="00E20197"/>
    <w:rsid w:val="00E22AFA"/>
    <w:rsid w:val="00E23D91"/>
    <w:rsid w:val="00E30842"/>
    <w:rsid w:val="00E4265E"/>
    <w:rsid w:val="00E503B1"/>
    <w:rsid w:val="00E51F02"/>
    <w:rsid w:val="00E62BF3"/>
    <w:rsid w:val="00E664F8"/>
    <w:rsid w:val="00E74F77"/>
    <w:rsid w:val="00E75389"/>
    <w:rsid w:val="00E825C9"/>
    <w:rsid w:val="00E904A3"/>
    <w:rsid w:val="00E90EA2"/>
    <w:rsid w:val="00E96308"/>
    <w:rsid w:val="00E964A2"/>
    <w:rsid w:val="00E96526"/>
    <w:rsid w:val="00EA2831"/>
    <w:rsid w:val="00EA56CF"/>
    <w:rsid w:val="00EB620B"/>
    <w:rsid w:val="00EB6B45"/>
    <w:rsid w:val="00EC5B0C"/>
    <w:rsid w:val="00EE018E"/>
    <w:rsid w:val="00EF499A"/>
    <w:rsid w:val="00EF5475"/>
    <w:rsid w:val="00EF7679"/>
    <w:rsid w:val="00F017E1"/>
    <w:rsid w:val="00F10854"/>
    <w:rsid w:val="00F13664"/>
    <w:rsid w:val="00F23375"/>
    <w:rsid w:val="00F24C7A"/>
    <w:rsid w:val="00F2682F"/>
    <w:rsid w:val="00F34EF1"/>
    <w:rsid w:val="00F37B64"/>
    <w:rsid w:val="00F405D3"/>
    <w:rsid w:val="00F41136"/>
    <w:rsid w:val="00F45243"/>
    <w:rsid w:val="00F45385"/>
    <w:rsid w:val="00F4566C"/>
    <w:rsid w:val="00F457D0"/>
    <w:rsid w:val="00F47C7B"/>
    <w:rsid w:val="00F558B7"/>
    <w:rsid w:val="00F5658B"/>
    <w:rsid w:val="00F62BDC"/>
    <w:rsid w:val="00F7439C"/>
    <w:rsid w:val="00F86364"/>
    <w:rsid w:val="00F9590A"/>
    <w:rsid w:val="00F9791E"/>
    <w:rsid w:val="00FA0F08"/>
    <w:rsid w:val="00FA39D6"/>
    <w:rsid w:val="00FA4A26"/>
    <w:rsid w:val="00FA6493"/>
    <w:rsid w:val="00FB0A57"/>
    <w:rsid w:val="00FB1D20"/>
    <w:rsid w:val="00FB35B6"/>
    <w:rsid w:val="00FC5FA3"/>
    <w:rsid w:val="00FC6B9D"/>
    <w:rsid w:val="00FE469A"/>
    <w:rsid w:val="00FE68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2B1B1"/>
  <w15:docId w15:val="{3388EA8D-227D-42EF-8E16-95807CF7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sz w:val="28"/>
        <w:szCs w:val="28"/>
        <w:lang w:val="vi-VN"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DD4"/>
    <w:rPr>
      <w:color w:val="000000"/>
    </w:rPr>
  </w:style>
  <w:style w:type="paragraph" w:styleId="Heading1">
    <w:name w:val="heading 1"/>
    <w:basedOn w:val="Normal"/>
    <w:next w:val="Normal"/>
    <w:link w:val="Heading1Char"/>
    <w:uiPriority w:val="9"/>
    <w:qFormat/>
    <w:rsid w:val="002659E4"/>
    <w:pPr>
      <w:keepNext/>
      <w:spacing w:before="240" w:after="60"/>
      <w:outlineLvl w:val="0"/>
    </w:pPr>
    <w:rPr>
      <w:rFonts w:ascii="Cambria" w:hAnsi="Cambria"/>
      <w:b/>
      <w:bCs/>
      <w:kern w:val="32"/>
      <w:sz w:val="32"/>
      <w:szCs w:val="32"/>
      <w:lang w:eastAsia="x-none"/>
    </w:rPr>
  </w:style>
  <w:style w:type="paragraph" w:styleId="Heading2">
    <w:name w:val="heading 2"/>
    <w:basedOn w:val="Normal"/>
    <w:next w:val="Normal"/>
    <w:link w:val="Heading2Char"/>
    <w:uiPriority w:val="9"/>
    <w:semiHidden/>
    <w:unhideWhenUsed/>
    <w:qFormat/>
    <w:rsid w:val="002659E4"/>
    <w:pPr>
      <w:keepNext/>
      <w:spacing w:before="240" w:after="60"/>
      <w:outlineLvl w:val="1"/>
    </w:pPr>
    <w:rPr>
      <w:rFonts w:ascii="Cambria" w:hAnsi="Cambria"/>
      <w:b/>
      <w:bCs/>
      <w:i/>
      <w:iCs/>
      <w:lang w:eastAsia="x-none"/>
    </w:rPr>
  </w:style>
  <w:style w:type="paragraph" w:styleId="Heading3">
    <w:name w:val="heading 3"/>
    <w:basedOn w:val="Normal"/>
    <w:next w:val="Normal"/>
    <w:link w:val="Heading3Char"/>
    <w:uiPriority w:val="9"/>
    <w:semiHidden/>
    <w:unhideWhenUsed/>
    <w:qFormat/>
    <w:rsid w:val="002659E4"/>
    <w:pPr>
      <w:keepNext/>
      <w:spacing w:before="240" w:after="60"/>
      <w:outlineLvl w:val="2"/>
    </w:pPr>
    <w:rPr>
      <w:rFonts w:ascii="Cambria" w:hAnsi="Cambria"/>
      <w:b/>
      <w:bCs/>
      <w:sz w:val="26"/>
      <w:szCs w:val="26"/>
      <w:lang w:eastAsia="x-none"/>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link w:val="Heading6Char"/>
    <w:qFormat/>
    <w:rsid w:val="009C5BC0"/>
    <w:pPr>
      <w:keepNext/>
      <w:spacing w:before="120" w:after="120"/>
      <w:jc w:val="center"/>
      <w:outlineLvl w:val="5"/>
    </w:pPr>
    <w:rPr>
      <w:rFonts w:ascii=".VnAvantH" w:hAnsi=".VnAvantH"/>
      <w:b/>
      <w:color w:val="auto"/>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D90199"/>
    <w:pPr>
      <w:ind w:left="720"/>
      <w:contextualSpacing/>
    </w:pPr>
  </w:style>
  <w:style w:type="table" w:styleId="TableGrid">
    <w:name w:val="Table Grid"/>
    <w:basedOn w:val="TableNormal"/>
    <w:uiPriority w:val="59"/>
    <w:rsid w:val="00E865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y">
    <w:name w:val="huy"/>
    <w:basedOn w:val="Normal"/>
    <w:next w:val="Normal"/>
    <w:link w:val="huyChar"/>
    <w:rsid w:val="00CB7AD1"/>
    <w:pPr>
      <w:spacing w:before="120" w:after="120"/>
      <w:ind w:firstLine="700"/>
      <w:jc w:val="left"/>
    </w:pPr>
    <w:rPr>
      <w:b/>
      <w:iCs/>
      <w:color w:val="auto"/>
      <w:sz w:val="20"/>
      <w:lang w:val="x-none" w:eastAsia="x-none"/>
    </w:rPr>
  </w:style>
  <w:style w:type="character" w:customStyle="1" w:styleId="huyChar">
    <w:name w:val="huy Char"/>
    <w:link w:val="huy"/>
    <w:rsid w:val="00CB7AD1"/>
    <w:rPr>
      <w:rFonts w:eastAsia="Times New Roman" w:cs="Times New Roman"/>
      <w:b/>
      <w:iCs/>
      <w:color w:val="auto"/>
      <w:szCs w:val="28"/>
    </w:rPr>
  </w:style>
  <w:style w:type="character" w:customStyle="1" w:styleId="Heading6Char">
    <w:name w:val="Heading 6 Char"/>
    <w:link w:val="Heading6"/>
    <w:rsid w:val="009C5BC0"/>
    <w:rPr>
      <w:rFonts w:ascii=".VnAvantH" w:eastAsia="Times New Roman" w:hAnsi=".VnAvantH" w:cs="Times New Roman"/>
      <w:b/>
      <w:color w:val="auto"/>
      <w:sz w:val="20"/>
    </w:rPr>
  </w:style>
  <w:style w:type="paragraph" w:customStyle="1" w:styleId="muclucbaocaophelieu2913">
    <w:name w:val="muc luc_bao cao phe lieu 2913"/>
    <w:basedOn w:val="Normal"/>
    <w:next w:val="Normal"/>
    <w:link w:val="muclucbaocaophelieu2913Char"/>
    <w:rsid w:val="00877221"/>
    <w:pPr>
      <w:spacing w:before="120" w:after="120"/>
      <w:jc w:val="left"/>
    </w:pPr>
    <w:rPr>
      <w:b/>
      <w:color w:val="auto"/>
      <w:sz w:val="20"/>
      <w:szCs w:val="24"/>
      <w:lang w:val="x-none" w:eastAsia="x-none"/>
    </w:rPr>
  </w:style>
  <w:style w:type="character" w:customStyle="1" w:styleId="muclucbaocaophelieu2913Char">
    <w:name w:val="muc luc_bao cao phe lieu 2913 Char"/>
    <w:link w:val="muclucbaocaophelieu2913"/>
    <w:rsid w:val="00877221"/>
    <w:rPr>
      <w:rFonts w:eastAsia="Times New Roman" w:cs="Times New Roman"/>
      <w:b/>
      <w:color w:val="auto"/>
      <w:szCs w:val="24"/>
    </w:rPr>
  </w:style>
  <w:style w:type="paragraph" w:customStyle="1" w:styleId="Char">
    <w:name w:val="Char"/>
    <w:basedOn w:val="Normal"/>
    <w:rsid w:val="00877221"/>
    <w:pPr>
      <w:pageBreakBefore/>
      <w:spacing w:before="100" w:beforeAutospacing="1" w:after="100" w:afterAutospacing="1"/>
    </w:pPr>
    <w:rPr>
      <w:rFonts w:ascii="Tahoma" w:hAnsi="Tahoma"/>
      <w:color w:val="auto"/>
      <w:sz w:val="20"/>
      <w:lang w:val="en-US"/>
    </w:rPr>
  </w:style>
  <w:style w:type="paragraph" w:styleId="TOC1">
    <w:name w:val="toc 1"/>
    <w:basedOn w:val="Normal"/>
    <w:next w:val="Normal"/>
    <w:autoRedefine/>
    <w:uiPriority w:val="39"/>
    <w:qFormat/>
    <w:rsid w:val="00877221"/>
    <w:pPr>
      <w:tabs>
        <w:tab w:val="left" w:pos="284"/>
        <w:tab w:val="right" w:leader="dot" w:pos="9062"/>
      </w:tabs>
      <w:spacing w:after="80"/>
    </w:pPr>
    <w:rPr>
      <w:b/>
      <w:noProof/>
      <w:lang w:val="nb-NO"/>
    </w:rPr>
  </w:style>
  <w:style w:type="paragraph" w:styleId="BodyTextIndent2">
    <w:name w:val="Body Text Indent 2"/>
    <w:basedOn w:val="Normal"/>
    <w:link w:val="BodyTextIndent2Char"/>
    <w:rsid w:val="007D14D5"/>
    <w:pPr>
      <w:ind w:firstLine="1440"/>
    </w:pPr>
    <w:rPr>
      <w:rFonts w:ascii=".VnTime" w:hAnsi=".VnTime"/>
      <w:color w:val="auto"/>
      <w:sz w:val="20"/>
      <w:lang w:val="en-US" w:eastAsia="x-none"/>
    </w:rPr>
  </w:style>
  <w:style w:type="character" w:customStyle="1" w:styleId="BodyTextIndent2Char">
    <w:name w:val="Body Text Indent 2 Char"/>
    <w:link w:val="BodyTextIndent2"/>
    <w:rsid w:val="007D14D5"/>
    <w:rPr>
      <w:rFonts w:ascii=".VnTime" w:eastAsia="Times New Roman" w:hAnsi=".VnTime" w:cs="Times New Roman"/>
      <w:color w:val="auto"/>
      <w:szCs w:val="28"/>
      <w:lang w:val="en-US"/>
    </w:rPr>
  </w:style>
  <w:style w:type="paragraph" w:customStyle="1" w:styleId="ha">
    <w:name w:val="ha"/>
    <w:basedOn w:val="Normal"/>
    <w:next w:val="Normal"/>
    <w:rsid w:val="00D901C4"/>
    <w:pPr>
      <w:jc w:val="left"/>
    </w:pPr>
    <w:rPr>
      <w:b/>
      <w:color w:val="auto"/>
      <w:szCs w:val="24"/>
      <w:lang w:val="en-US"/>
    </w:rPr>
  </w:style>
  <w:style w:type="paragraph" w:styleId="BodyText">
    <w:name w:val="Body Text"/>
    <w:basedOn w:val="Normal"/>
    <w:link w:val="BodyTextChar"/>
    <w:uiPriority w:val="99"/>
    <w:semiHidden/>
    <w:unhideWhenUsed/>
    <w:rsid w:val="008620D2"/>
    <w:pPr>
      <w:spacing w:after="120"/>
    </w:pPr>
  </w:style>
  <w:style w:type="character" w:customStyle="1" w:styleId="BodyTextChar">
    <w:name w:val="Body Text Char"/>
    <w:basedOn w:val="DefaultParagraphFont"/>
    <w:link w:val="BodyText"/>
    <w:uiPriority w:val="99"/>
    <w:semiHidden/>
    <w:rsid w:val="008620D2"/>
  </w:style>
  <w:style w:type="paragraph" w:styleId="Header">
    <w:name w:val="header"/>
    <w:basedOn w:val="Normal"/>
    <w:link w:val="HeaderChar"/>
    <w:uiPriority w:val="99"/>
    <w:unhideWhenUsed/>
    <w:rsid w:val="00673EF1"/>
    <w:pPr>
      <w:tabs>
        <w:tab w:val="center" w:pos="4513"/>
        <w:tab w:val="right" w:pos="9026"/>
      </w:tabs>
    </w:pPr>
  </w:style>
  <w:style w:type="character" w:customStyle="1" w:styleId="HeaderChar">
    <w:name w:val="Header Char"/>
    <w:basedOn w:val="DefaultParagraphFont"/>
    <w:link w:val="Header"/>
    <w:uiPriority w:val="99"/>
    <w:rsid w:val="00673EF1"/>
  </w:style>
  <w:style w:type="paragraph" w:styleId="Footer">
    <w:name w:val="footer"/>
    <w:basedOn w:val="Normal"/>
    <w:link w:val="FooterChar"/>
    <w:uiPriority w:val="99"/>
    <w:unhideWhenUsed/>
    <w:rsid w:val="00673EF1"/>
    <w:pPr>
      <w:tabs>
        <w:tab w:val="center" w:pos="4513"/>
        <w:tab w:val="right" w:pos="9026"/>
      </w:tabs>
    </w:pPr>
  </w:style>
  <w:style w:type="character" w:customStyle="1" w:styleId="FooterChar">
    <w:name w:val="Footer Char"/>
    <w:basedOn w:val="DefaultParagraphFont"/>
    <w:link w:val="Footer"/>
    <w:uiPriority w:val="99"/>
    <w:rsid w:val="00673EF1"/>
  </w:style>
  <w:style w:type="paragraph" w:styleId="BalloonText">
    <w:name w:val="Balloon Text"/>
    <w:basedOn w:val="Normal"/>
    <w:link w:val="BalloonTextChar"/>
    <w:uiPriority w:val="99"/>
    <w:semiHidden/>
    <w:unhideWhenUsed/>
    <w:rsid w:val="00673EF1"/>
    <w:rPr>
      <w:rFonts w:ascii="Tahoma" w:hAnsi="Tahoma"/>
      <w:color w:val="auto"/>
      <w:sz w:val="16"/>
      <w:szCs w:val="16"/>
      <w:lang w:val="x-none" w:eastAsia="x-none"/>
    </w:rPr>
  </w:style>
  <w:style w:type="character" w:customStyle="1" w:styleId="BalloonTextChar">
    <w:name w:val="Balloon Text Char"/>
    <w:link w:val="BalloonText"/>
    <w:uiPriority w:val="99"/>
    <w:semiHidden/>
    <w:rsid w:val="00673EF1"/>
    <w:rPr>
      <w:rFonts w:ascii="Tahoma" w:hAnsi="Tahoma" w:cs="Tahoma"/>
      <w:sz w:val="16"/>
      <w:szCs w:val="16"/>
    </w:rPr>
  </w:style>
  <w:style w:type="paragraph" w:customStyle="1" w:styleId="doanvanchuan">
    <w:name w:val="doan van chuan"/>
    <w:next w:val="Normal"/>
    <w:link w:val="doanvanchuanChar"/>
    <w:rsid w:val="003861A9"/>
    <w:pPr>
      <w:spacing w:before="120" w:line="288" w:lineRule="auto"/>
      <w:ind w:firstLine="720"/>
    </w:pPr>
    <w:rPr>
      <w:szCs w:val="26"/>
    </w:rPr>
  </w:style>
  <w:style w:type="character" w:customStyle="1" w:styleId="doanvanchuanChar">
    <w:name w:val="doan van chuan Char"/>
    <w:link w:val="doanvanchuan"/>
    <w:rsid w:val="003861A9"/>
    <w:rPr>
      <w:rFonts w:eastAsia="Times New Roman"/>
      <w:sz w:val="28"/>
      <w:szCs w:val="26"/>
      <w:lang w:val="en-US" w:eastAsia="en-US" w:bidi="ar-SA"/>
    </w:rPr>
  </w:style>
  <w:style w:type="character" w:styleId="CommentReference">
    <w:name w:val="annotation reference"/>
    <w:uiPriority w:val="99"/>
    <w:semiHidden/>
    <w:unhideWhenUsed/>
    <w:rsid w:val="00F37394"/>
    <w:rPr>
      <w:sz w:val="16"/>
      <w:szCs w:val="16"/>
    </w:rPr>
  </w:style>
  <w:style w:type="paragraph" w:styleId="CommentText">
    <w:name w:val="annotation text"/>
    <w:basedOn w:val="Normal"/>
    <w:link w:val="CommentTextChar"/>
    <w:uiPriority w:val="99"/>
    <w:semiHidden/>
    <w:unhideWhenUsed/>
    <w:rsid w:val="00F37394"/>
    <w:rPr>
      <w:sz w:val="20"/>
      <w:lang w:eastAsia="x-none"/>
    </w:rPr>
  </w:style>
  <w:style w:type="character" w:customStyle="1" w:styleId="CommentTextChar">
    <w:name w:val="Comment Text Char"/>
    <w:link w:val="CommentText"/>
    <w:uiPriority w:val="99"/>
    <w:semiHidden/>
    <w:rsid w:val="00F37394"/>
    <w:rPr>
      <w:color w:val="000000"/>
      <w:lang w:val="vi-VN"/>
    </w:rPr>
  </w:style>
  <w:style w:type="paragraph" w:styleId="CommentSubject">
    <w:name w:val="annotation subject"/>
    <w:basedOn w:val="CommentText"/>
    <w:next w:val="CommentText"/>
    <w:link w:val="CommentSubjectChar"/>
    <w:uiPriority w:val="99"/>
    <w:semiHidden/>
    <w:unhideWhenUsed/>
    <w:rsid w:val="00F37394"/>
    <w:rPr>
      <w:b/>
      <w:bCs/>
    </w:rPr>
  </w:style>
  <w:style w:type="character" w:customStyle="1" w:styleId="CommentSubjectChar">
    <w:name w:val="Comment Subject Char"/>
    <w:link w:val="CommentSubject"/>
    <w:uiPriority w:val="99"/>
    <w:semiHidden/>
    <w:rsid w:val="00F37394"/>
    <w:rPr>
      <w:b/>
      <w:bCs/>
      <w:color w:val="000000"/>
      <w:lang w:val="vi-VN"/>
    </w:rPr>
  </w:style>
  <w:style w:type="character" w:customStyle="1" w:styleId="Heading1Char">
    <w:name w:val="Heading 1 Char"/>
    <w:link w:val="Heading1"/>
    <w:uiPriority w:val="9"/>
    <w:rsid w:val="002659E4"/>
    <w:rPr>
      <w:rFonts w:ascii="Cambria" w:eastAsia="Times New Roman" w:hAnsi="Cambria" w:cs="Times New Roman"/>
      <w:b/>
      <w:bCs/>
      <w:color w:val="000000"/>
      <w:kern w:val="32"/>
      <w:sz w:val="32"/>
      <w:szCs w:val="32"/>
      <w:lang w:val="vi-VN"/>
    </w:rPr>
  </w:style>
  <w:style w:type="character" w:customStyle="1" w:styleId="Heading2Char">
    <w:name w:val="Heading 2 Char"/>
    <w:link w:val="Heading2"/>
    <w:uiPriority w:val="9"/>
    <w:semiHidden/>
    <w:rsid w:val="002659E4"/>
    <w:rPr>
      <w:rFonts w:ascii="Cambria" w:eastAsia="Times New Roman" w:hAnsi="Cambria" w:cs="Times New Roman"/>
      <w:b/>
      <w:bCs/>
      <w:i/>
      <w:iCs/>
      <w:color w:val="000000"/>
      <w:sz w:val="28"/>
      <w:szCs w:val="28"/>
      <w:lang w:val="vi-VN"/>
    </w:rPr>
  </w:style>
  <w:style w:type="character" w:customStyle="1" w:styleId="Heading3Char">
    <w:name w:val="Heading 3 Char"/>
    <w:link w:val="Heading3"/>
    <w:uiPriority w:val="9"/>
    <w:semiHidden/>
    <w:rsid w:val="002659E4"/>
    <w:rPr>
      <w:rFonts w:ascii="Cambria" w:eastAsia="Times New Roman" w:hAnsi="Cambria" w:cs="Times New Roman"/>
      <w:b/>
      <w:bCs/>
      <w:color w:val="000000"/>
      <w:sz w:val="26"/>
      <w:szCs w:val="26"/>
      <w:lang w:val="vi-VN"/>
    </w:rPr>
  </w:style>
  <w:style w:type="paragraph" w:styleId="TOCHeading">
    <w:name w:val="TOC Heading"/>
    <w:basedOn w:val="Heading1"/>
    <w:next w:val="Normal"/>
    <w:uiPriority w:val="39"/>
    <w:semiHidden/>
    <w:unhideWhenUsed/>
    <w:qFormat/>
    <w:rsid w:val="002659E4"/>
    <w:pPr>
      <w:keepLines/>
      <w:spacing w:before="480" w:after="0" w:line="276" w:lineRule="auto"/>
      <w:jc w:val="left"/>
      <w:outlineLvl w:val="9"/>
    </w:pPr>
    <w:rPr>
      <w:color w:val="365F91"/>
      <w:kern w:val="0"/>
      <w:sz w:val="28"/>
      <w:szCs w:val="28"/>
      <w:lang w:val="en-US" w:eastAsia="ja-JP"/>
    </w:rPr>
  </w:style>
  <w:style w:type="paragraph" w:styleId="TOC2">
    <w:name w:val="toc 2"/>
    <w:basedOn w:val="Normal"/>
    <w:next w:val="Normal"/>
    <w:autoRedefine/>
    <w:uiPriority w:val="39"/>
    <w:unhideWhenUsed/>
    <w:rsid w:val="002659E4"/>
    <w:pPr>
      <w:ind w:left="280"/>
    </w:pPr>
  </w:style>
  <w:style w:type="paragraph" w:styleId="TOC3">
    <w:name w:val="toc 3"/>
    <w:basedOn w:val="Normal"/>
    <w:next w:val="Normal"/>
    <w:autoRedefine/>
    <w:uiPriority w:val="39"/>
    <w:unhideWhenUsed/>
    <w:rsid w:val="002659E4"/>
    <w:pPr>
      <w:ind w:left="560"/>
    </w:pPr>
  </w:style>
  <w:style w:type="character" w:styleId="Hyperlink">
    <w:name w:val="Hyperlink"/>
    <w:uiPriority w:val="99"/>
    <w:unhideWhenUsed/>
    <w:rsid w:val="002659E4"/>
    <w:rPr>
      <w:color w:val="0000FF"/>
      <w:u w:val="single"/>
    </w:rPr>
  </w:style>
  <w:style w:type="table" w:customStyle="1" w:styleId="TableGrid1">
    <w:name w:val="Table Grid1"/>
    <w:basedOn w:val="TableNormal"/>
    <w:next w:val="TableGrid"/>
    <w:uiPriority w:val="99"/>
    <w:rsid w:val="004067E3"/>
    <w:rPr>
      <w:rFonts w:ascii="Calibri" w:eastAsia="Calibri" w:hAnsi="Calibri"/>
      <w:lang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rsid w:val="00F25111"/>
    <w:pPr>
      <w:spacing w:after="200" w:line="276" w:lineRule="auto"/>
      <w:jc w:val="left"/>
    </w:pPr>
    <w:rPr>
      <w:rFonts w:ascii="Arial" w:hAnsi="Arial"/>
      <w:color w:val="auto"/>
      <w:sz w:val="20"/>
    </w:rPr>
  </w:style>
  <w:style w:type="character" w:customStyle="1" w:styleId="FootnoteTextChar">
    <w:name w:val="Footnote Text Char"/>
    <w:link w:val="FootnoteText"/>
    <w:uiPriority w:val="99"/>
    <w:rsid w:val="00F25111"/>
    <w:rPr>
      <w:rFonts w:ascii="Arial" w:hAnsi="Arial"/>
      <w:lang w:val="vi-VN"/>
    </w:rPr>
  </w:style>
  <w:style w:type="character" w:styleId="FootnoteReference">
    <w:name w:val="footnote reference"/>
    <w:aliases w:val="ftref,Footnote,16 Point,Superscript 6 Point,Superscript 6 Point + 11 pt,(NECG) Footnote Reference,Fußnotenzeichen DISS,fr,Footnote Ref in FtNote,BVI fnr,E FNZ,-E Fußnotenzeichen,Footnote#,Footnote text"/>
    <w:uiPriority w:val="99"/>
    <w:rsid w:val="00F25111"/>
    <w:rPr>
      <w:vertAlign w:val="superscript"/>
    </w:rPr>
  </w:style>
  <w:style w:type="character" w:styleId="PlaceholderText">
    <w:name w:val="Placeholder Text"/>
    <w:basedOn w:val="DefaultParagraphFont"/>
    <w:uiPriority w:val="99"/>
    <w:semiHidden/>
    <w:rsid w:val="003D619C"/>
    <w:rPr>
      <w:color w:val="808080"/>
    </w:rPr>
  </w:style>
  <w:style w:type="paragraph" w:styleId="BodyTextIndent">
    <w:name w:val="Body Text Indent"/>
    <w:basedOn w:val="Normal"/>
    <w:link w:val="BodyTextIndentChar"/>
    <w:uiPriority w:val="99"/>
    <w:unhideWhenUsed/>
    <w:rsid w:val="0055298B"/>
    <w:pPr>
      <w:spacing w:after="120"/>
      <w:ind w:left="360"/>
    </w:pPr>
  </w:style>
  <w:style w:type="character" w:customStyle="1" w:styleId="BodyTextIndentChar">
    <w:name w:val="Body Text Indent Char"/>
    <w:basedOn w:val="DefaultParagraphFont"/>
    <w:link w:val="BodyTextIndent"/>
    <w:uiPriority w:val="99"/>
    <w:rsid w:val="0055298B"/>
    <w:rPr>
      <w:color w:val="000000"/>
      <w:sz w:val="28"/>
      <w:lang w:val="vi-VN"/>
    </w:rPr>
  </w:style>
  <w:style w:type="paragraph" w:customStyle="1" w:styleId="Char4">
    <w:name w:val="Char4"/>
    <w:basedOn w:val="Normal"/>
    <w:semiHidden/>
    <w:rsid w:val="00D858B5"/>
    <w:pPr>
      <w:spacing w:after="160" w:line="240" w:lineRule="exact"/>
      <w:jc w:val="left"/>
    </w:pPr>
    <w:rPr>
      <w:rFonts w:ascii="Arial" w:hAnsi="Arial" w:cs="Arial"/>
      <w:color w:val="auto"/>
      <w:sz w:val="22"/>
      <w:szCs w:val="22"/>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rFonts w:ascii="Calibri" w:eastAsia="Calibri" w:hAnsi="Calibri" w:cs="Calibri"/>
    </w:rPr>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4C0F09"/>
    <w:pPr>
      <w:spacing w:before="100" w:beforeAutospacing="1" w:after="100" w:afterAutospacing="1"/>
      <w:jc w:val="left"/>
    </w:pPr>
    <w:rPr>
      <w:color w:val="auto"/>
      <w:sz w:val="24"/>
      <w:szCs w:val="24"/>
      <w:lang w:val="en-US"/>
    </w:rPr>
  </w:style>
  <w:style w:type="character" w:customStyle="1" w:styleId="UnresolvedMention1">
    <w:name w:val="Unresolved Mention1"/>
    <w:basedOn w:val="DefaultParagraphFont"/>
    <w:uiPriority w:val="99"/>
    <w:semiHidden/>
    <w:unhideWhenUsed/>
    <w:rsid w:val="0060732F"/>
    <w:rPr>
      <w:color w:val="605E5C"/>
      <w:shd w:val="clear" w:color="auto" w:fill="E1DFDD"/>
    </w:rPr>
  </w:style>
  <w:style w:type="character" w:styleId="PageNumber">
    <w:name w:val="page number"/>
    <w:basedOn w:val="DefaultParagraphFont"/>
    <w:uiPriority w:val="99"/>
    <w:semiHidden/>
    <w:unhideWhenUsed/>
    <w:rsid w:val="00F23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7626">
      <w:bodyDiv w:val="1"/>
      <w:marLeft w:val="0"/>
      <w:marRight w:val="0"/>
      <w:marTop w:val="0"/>
      <w:marBottom w:val="0"/>
      <w:divBdr>
        <w:top w:val="none" w:sz="0" w:space="0" w:color="auto"/>
        <w:left w:val="none" w:sz="0" w:space="0" w:color="auto"/>
        <w:bottom w:val="none" w:sz="0" w:space="0" w:color="auto"/>
        <w:right w:val="none" w:sz="0" w:space="0" w:color="auto"/>
      </w:divBdr>
    </w:div>
    <w:div w:id="159002161">
      <w:bodyDiv w:val="1"/>
      <w:marLeft w:val="0"/>
      <w:marRight w:val="0"/>
      <w:marTop w:val="0"/>
      <w:marBottom w:val="0"/>
      <w:divBdr>
        <w:top w:val="none" w:sz="0" w:space="0" w:color="auto"/>
        <w:left w:val="none" w:sz="0" w:space="0" w:color="auto"/>
        <w:bottom w:val="none" w:sz="0" w:space="0" w:color="auto"/>
        <w:right w:val="none" w:sz="0" w:space="0" w:color="auto"/>
      </w:divBdr>
    </w:div>
    <w:div w:id="247466886">
      <w:bodyDiv w:val="1"/>
      <w:marLeft w:val="0"/>
      <w:marRight w:val="0"/>
      <w:marTop w:val="0"/>
      <w:marBottom w:val="0"/>
      <w:divBdr>
        <w:top w:val="none" w:sz="0" w:space="0" w:color="auto"/>
        <w:left w:val="none" w:sz="0" w:space="0" w:color="auto"/>
        <w:bottom w:val="none" w:sz="0" w:space="0" w:color="auto"/>
        <w:right w:val="none" w:sz="0" w:space="0" w:color="auto"/>
      </w:divBdr>
    </w:div>
    <w:div w:id="270401948">
      <w:bodyDiv w:val="1"/>
      <w:marLeft w:val="0"/>
      <w:marRight w:val="0"/>
      <w:marTop w:val="0"/>
      <w:marBottom w:val="0"/>
      <w:divBdr>
        <w:top w:val="none" w:sz="0" w:space="0" w:color="auto"/>
        <w:left w:val="none" w:sz="0" w:space="0" w:color="auto"/>
        <w:bottom w:val="none" w:sz="0" w:space="0" w:color="auto"/>
        <w:right w:val="none" w:sz="0" w:space="0" w:color="auto"/>
      </w:divBdr>
    </w:div>
    <w:div w:id="276832004">
      <w:bodyDiv w:val="1"/>
      <w:marLeft w:val="0"/>
      <w:marRight w:val="0"/>
      <w:marTop w:val="0"/>
      <w:marBottom w:val="0"/>
      <w:divBdr>
        <w:top w:val="none" w:sz="0" w:space="0" w:color="auto"/>
        <w:left w:val="none" w:sz="0" w:space="0" w:color="auto"/>
        <w:bottom w:val="none" w:sz="0" w:space="0" w:color="auto"/>
        <w:right w:val="none" w:sz="0" w:space="0" w:color="auto"/>
      </w:divBdr>
    </w:div>
    <w:div w:id="357708299">
      <w:bodyDiv w:val="1"/>
      <w:marLeft w:val="0"/>
      <w:marRight w:val="0"/>
      <w:marTop w:val="0"/>
      <w:marBottom w:val="0"/>
      <w:divBdr>
        <w:top w:val="none" w:sz="0" w:space="0" w:color="auto"/>
        <w:left w:val="none" w:sz="0" w:space="0" w:color="auto"/>
        <w:bottom w:val="none" w:sz="0" w:space="0" w:color="auto"/>
        <w:right w:val="none" w:sz="0" w:space="0" w:color="auto"/>
      </w:divBdr>
    </w:div>
    <w:div w:id="398484981">
      <w:bodyDiv w:val="1"/>
      <w:marLeft w:val="0"/>
      <w:marRight w:val="0"/>
      <w:marTop w:val="0"/>
      <w:marBottom w:val="0"/>
      <w:divBdr>
        <w:top w:val="none" w:sz="0" w:space="0" w:color="auto"/>
        <w:left w:val="none" w:sz="0" w:space="0" w:color="auto"/>
        <w:bottom w:val="none" w:sz="0" w:space="0" w:color="auto"/>
        <w:right w:val="none" w:sz="0" w:space="0" w:color="auto"/>
      </w:divBdr>
    </w:div>
    <w:div w:id="539896991">
      <w:bodyDiv w:val="1"/>
      <w:marLeft w:val="0"/>
      <w:marRight w:val="0"/>
      <w:marTop w:val="0"/>
      <w:marBottom w:val="0"/>
      <w:divBdr>
        <w:top w:val="none" w:sz="0" w:space="0" w:color="auto"/>
        <w:left w:val="none" w:sz="0" w:space="0" w:color="auto"/>
        <w:bottom w:val="none" w:sz="0" w:space="0" w:color="auto"/>
        <w:right w:val="none" w:sz="0" w:space="0" w:color="auto"/>
      </w:divBdr>
    </w:div>
    <w:div w:id="546068648">
      <w:bodyDiv w:val="1"/>
      <w:marLeft w:val="0"/>
      <w:marRight w:val="0"/>
      <w:marTop w:val="0"/>
      <w:marBottom w:val="0"/>
      <w:divBdr>
        <w:top w:val="none" w:sz="0" w:space="0" w:color="auto"/>
        <w:left w:val="none" w:sz="0" w:space="0" w:color="auto"/>
        <w:bottom w:val="none" w:sz="0" w:space="0" w:color="auto"/>
        <w:right w:val="none" w:sz="0" w:space="0" w:color="auto"/>
      </w:divBdr>
    </w:div>
    <w:div w:id="807624849">
      <w:bodyDiv w:val="1"/>
      <w:marLeft w:val="0"/>
      <w:marRight w:val="0"/>
      <w:marTop w:val="0"/>
      <w:marBottom w:val="0"/>
      <w:divBdr>
        <w:top w:val="none" w:sz="0" w:space="0" w:color="auto"/>
        <w:left w:val="none" w:sz="0" w:space="0" w:color="auto"/>
        <w:bottom w:val="none" w:sz="0" w:space="0" w:color="auto"/>
        <w:right w:val="none" w:sz="0" w:space="0" w:color="auto"/>
      </w:divBdr>
    </w:div>
    <w:div w:id="809329461">
      <w:bodyDiv w:val="1"/>
      <w:marLeft w:val="0"/>
      <w:marRight w:val="0"/>
      <w:marTop w:val="0"/>
      <w:marBottom w:val="0"/>
      <w:divBdr>
        <w:top w:val="none" w:sz="0" w:space="0" w:color="auto"/>
        <w:left w:val="none" w:sz="0" w:space="0" w:color="auto"/>
        <w:bottom w:val="none" w:sz="0" w:space="0" w:color="auto"/>
        <w:right w:val="none" w:sz="0" w:space="0" w:color="auto"/>
      </w:divBdr>
    </w:div>
    <w:div w:id="931283203">
      <w:bodyDiv w:val="1"/>
      <w:marLeft w:val="0"/>
      <w:marRight w:val="0"/>
      <w:marTop w:val="0"/>
      <w:marBottom w:val="0"/>
      <w:divBdr>
        <w:top w:val="none" w:sz="0" w:space="0" w:color="auto"/>
        <w:left w:val="none" w:sz="0" w:space="0" w:color="auto"/>
        <w:bottom w:val="none" w:sz="0" w:space="0" w:color="auto"/>
        <w:right w:val="none" w:sz="0" w:space="0" w:color="auto"/>
      </w:divBdr>
    </w:div>
    <w:div w:id="944462699">
      <w:bodyDiv w:val="1"/>
      <w:marLeft w:val="0"/>
      <w:marRight w:val="0"/>
      <w:marTop w:val="0"/>
      <w:marBottom w:val="0"/>
      <w:divBdr>
        <w:top w:val="none" w:sz="0" w:space="0" w:color="auto"/>
        <w:left w:val="none" w:sz="0" w:space="0" w:color="auto"/>
        <w:bottom w:val="none" w:sz="0" w:space="0" w:color="auto"/>
        <w:right w:val="none" w:sz="0" w:space="0" w:color="auto"/>
      </w:divBdr>
    </w:div>
    <w:div w:id="986930705">
      <w:bodyDiv w:val="1"/>
      <w:marLeft w:val="0"/>
      <w:marRight w:val="0"/>
      <w:marTop w:val="0"/>
      <w:marBottom w:val="0"/>
      <w:divBdr>
        <w:top w:val="none" w:sz="0" w:space="0" w:color="auto"/>
        <w:left w:val="none" w:sz="0" w:space="0" w:color="auto"/>
        <w:bottom w:val="none" w:sz="0" w:space="0" w:color="auto"/>
        <w:right w:val="none" w:sz="0" w:space="0" w:color="auto"/>
      </w:divBdr>
    </w:div>
    <w:div w:id="1055158185">
      <w:bodyDiv w:val="1"/>
      <w:marLeft w:val="0"/>
      <w:marRight w:val="0"/>
      <w:marTop w:val="0"/>
      <w:marBottom w:val="0"/>
      <w:divBdr>
        <w:top w:val="none" w:sz="0" w:space="0" w:color="auto"/>
        <w:left w:val="none" w:sz="0" w:space="0" w:color="auto"/>
        <w:bottom w:val="none" w:sz="0" w:space="0" w:color="auto"/>
        <w:right w:val="none" w:sz="0" w:space="0" w:color="auto"/>
      </w:divBdr>
    </w:div>
    <w:div w:id="1131551743">
      <w:bodyDiv w:val="1"/>
      <w:marLeft w:val="0"/>
      <w:marRight w:val="0"/>
      <w:marTop w:val="0"/>
      <w:marBottom w:val="0"/>
      <w:divBdr>
        <w:top w:val="none" w:sz="0" w:space="0" w:color="auto"/>
        <w:left w:val="none" w:sz="0" w:space="0" w:color="auto"/>
        <w:bottom w:val="none" w:sz="0" w:space="0" w:color="auto"/>
        <w:right w:val="none" w:sz="0" w:space="0" w:color="auto"/>
      </w:divBdr>
    </w:div>
    <w:div w:id="1132939883">
      <w:bodyDiv w:val="1"/>
      <w:marLeft w:val="0"/>
      <w:marRight w:val="0"/>
      <w:marTop w:val="0"/>
      <w:marBottom w:val="0"/>
      <w:divBdr>
        <w:top w:val="none" w:sz="0" w:space="0" w:color="auto"/>
        <w:left w:val="none" w:sz="0" w:space="0" w:color="auto"/>
        <w:bottom w:val="none" w:sz="0" w:space="0" w:color="auto"/>
        <w:right w:val="none" w:sz="0" w:space="0" w:color="auto"/>
      </w:divBdr>
    </w:div>
    <w:div w:id="1219633357">
      <w:bodyDiv w:val="1"/>
      <w:marLeft w:val="0"/>
      <w:marRight w:val="0"/>
      <w:marTop w:val="0"/>
      <w:marBottom w:val="0"/>
      <w:divBdr>
        <w:top w:val="none" w:sz="0" w:space="0" w:color="auto"/>
        <w:left w:val="none" w:sz="0" w:space="0" w:color="auto"/>
        <w:bottom w:val="none" w:sz="0" w:space="0" w:color="auto"/>
        <w:right w:val="none" w:sz="0" w:space="0" w:color="auto"/>
      </w:divBdr>
    </w:div>
    <w:div w:id="1262181945">
      <w:bodyDiv w:val="1"/>
      <w:marLeft w:val="0"/>
      <w:marRight w:val="0"/>
      <w:marTop w:val="0"/>
      <w:marBottom w:val="0"/>
      <w:divBdr>
        <w:top w:val="none" w:sz="0" w:space="0" w:color="auto"/>
        <w:left w:val="none" w:sz="0" w:space="0" w:color="auto"/>
        <w:bottom w:val="none" w:sz="0" w:space="0" w:color="auto"/>
        <w:right w:val="none" w:sz="0" w:space="0" w:color="auto"/>
      </w:divBdr>
    </w:div>
    <w:div w:id="1305964245">
      <w:bodyDiv w:val="1"/>
      <w:marLeft w:val="0"/>
      <w:marRight w:val="0"/>
      <w:marTop w:val="0"/>
      <w:marBottom w:val="0"/>
      <w:divBdr>
        <w:top w:val="none" w:sz="0" w:space="0" w:color="auto"/>
        <w:left w:val="none" w:sz="0" w:space="0" w:color="auto"/>
        <w:bottom w:val="none" w:sz="0" w:space="0" w:color="auto"/>
        <w:right w:val="none" w:sz="0" w:space="0" w:color="auto"/>
      </w:divBdr>
    </w:div>
    <w:div w:id="1382903091">
      <w:bodyDiv w:val="1"/>
      <w:marLeft w:val="0"/>
      <w:marRight w:val="0"/>
      <w:marTop w:val="0"/>
      <w:marBottom w:val="0"/>
      <w:divBdr>
        <w:top w:val="none" w:sz="0" w:space="0" w:color="auto"/>
        <w:left w:val="none" w:sz="0" w:space="0" w:color="auto"/>
        <w:bottom w:val="none" w:sz="0" w:space="0" w:color="auto"/>
        <w:right w:val="none" w:sz="0" w:space="0" w:color="auto"/>
      </w:divBdr>
    </w:div>
    <w:div w:id="1472674537">
      <w:bodyDiv w:val="1"/>
      <w:marLeft w:val="0"/>
      <w:marRight w:val="0"/>
      <w:marTop w:val="0"/>
      <w:marBottom w:val="0"/>
      <w:divBdr>
        <w:top w:val="none" w:sz="0" w:space="0" w:color="auto"/>
        <w:left w:val="none" w:sz="0" w:space="0" w:color="auto"/>
        <w:bottom w:val="none" w:sz="0" w:space="0" w:color="auto"/>
        <w:right w:val="none" w:sz="0" w:space="0" w:color="auto"/>
      </w:divBdr>
    </w:div>
    <w:div w:id="1490174973">
      <w:bodyDiv w:val="1"/>
      <w:marLeft w:val="0"/>
      <w:marRight w:val="0"/>
      <w:marTop w:val="0"/>
      <w:marBottom w:val="0"/>
      <w:divBdr>
        <w:top w:val="none" w:sz="0" w:space="0" w:color="auto"/>
        <w:left w:val="none" w:sz="0" w:space="0" w:color="auto"/>
        <w:bottom w:val="none" w:sz="0" w:space="0" w:color="auto"/>
        <w:right w:val="none" w:sz="0" w:space="0" w:color="auto"/>
      </w:divBdr>
    </w:div>
    <w:div w:id="1521626139">
      <w:bodyDiv w:val="1"/>
      <w:marLeft w:val="0"/>
      <w:marRight w:val="0"/>
      <w:marTop w:val="0"/>
      <w:marBottom w:val="0"/>
      <w:divBdr>
        <w:top w:val="none" w:sz="0" w:space="0" w:color="auto"/>
        <w:left w:val="none" w:sz="0" w:space="0" w:color="auto"/>
        <w:bottom w:val="none" w:sz="0" w:space="0" w:color="auto"/>
        <w:right w:val="none" w:sz="0" w:space="0" w:color="auto"/>
      </w:divBdr>
    </w:div>
    <w:div w:id="1555433578">
      <w:bodyDiv w:val="1"/>
      <w:marLeft w:val="0"/>
      <w:marRight w:val="0"/>
      <w:marTop w:val="0"/>
      <w:marBottom w:val="0"/>
      <w:divBdr>
        <w:top w:val="none" w:sz="0" w:space="0" w:color="auto"/>
        <w:left w:val="none" w:sz="0" w:space="0" w:color="auto"/>
        <w:bottom w:val="none" w:sz="0" w:space="0" w:color="auto"/>
        <w:right w:val="none" w:sz="0" w:space="0" w:color="auto"/>
      </w:divBdr>
    </w:div>
    <w:div w:id="1565140414">
      <w:bodyDiv w:val="1"/>
      <w:marLeft w:val="0"/>
      <w:marRight w:val="0"/>
      <w:marTop w:val="0"/>
      <w:marBottom w:val="0"/>
      <w:divBdr>
        <w:top w:val="none" w:sz="0" w:space="0" w:color="auto"/>
        <w:left w:val="none" w:sz="0" w:space="0" w:color="auto"/>
        <w:bottom w:val="none" w:sz="0" w:space="0" w:color="auto"/>
        <w:right w:val="none" w:sz="0" w:space="0" w:color="auto"/>
      </w:divBdr>
    </w:div>
    <w:div w:id="1565801074">
      <w:bodyDiv w:val="1"/>
      <w:marLeft w:val="0"/>
      <w:marRight w:val="0"/>
      <w:marTop w:val="0"/>
      <w:marBottom w:val="0"/>
      <w:divBdr>
        <w:top w:val="none" w:sz="0" w:space="0" w:color="auto"/>
        <w:left w:val="none" w:sz="0" w:space="0" w:color="auto"/>
        <w:bottom w:val="none" w:sz="0" w:space="0" w:color="auto"/>
        <w:right w:val="none" w:sz="0" w:space="0" w:color="auto"/>
      </w:divBdr>
    </w:div>
    <w:div w:id="1588998931">
      <w:bodyDiv w:val="1"/>
      <w:marLeft w:val="0"/>
      <w:marRight w:val="0"/>
      <w:marTop w:val="0"/>
      <w:marBottom w:val="0"/>
      <w:divBdr>
        <w:top w:val="none" w:sz="0" w:space="0" w:color="auto"/>
        <w:left w:val="none" w:sz="0" w:space="0" w:color="auto"/>
        <w:bottom w:val="none" w:sz="0" w:space="0" w:color="auto"/>
        <w:right w:val="none" w:sz="0" w:space="0" w:color="auto"/>
      </w:divBdr>
    </w:div>
    <w:div w:id="2014334168">
      <w:bodyDiv w:val="1"/>
      <w:marLeft w:val="0"/>
      <w:marRight w:val="0"/>
      <w:marTop w:val="0"/>
      <w:marBottom w:val="0"/>
      <w:divBdr>
        <w:top w:val="none" w:sz="0" w:space="0" w:color="auto"/>
        <w:left w:val="none" w:sz="0" w:space="0" w:color="auto"/>
        <w:bottom w:val="none" w:sz="0" w:space="0" w:color="auto"/>
        <w:right w:val="none" w:sz="0" w:space="0" w:color="auto"/>
      </w:divBdr>
    </w:div>
    <w:div w:id="2044936541">
      <w:bodyDiv w:val="1"/>
      <w:marLeft w:val="0"/>
      <w:marRight w:val="0"/>
      <w:marTop w:val="0"/>
      <w:marBottom w:val="0"/>
      <w:divBdr>
        <w:top w:val="none" w:sz="0" w:space="0" w:color="auto"/>
        <w:left w:val="none" w:sz="0" w:space="0" w:color="auto"/>
        <w:bottom w:val="none" w:sz="0" w:space="0" w:color="auto"/>
        <w:right w:val="none" w:sz="0" w:space="0" w:color="auto"/>
      </w:divBdr>
    </w:div>
    <w:div w:id="20557343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MK8XcVSCkq8nnPcrDWNzSAJMmw==">AMUW2mVPhNAmxlcLOR7dSR39QvmBXcBhZCAxpBm7v7tgwAzaRmU+ysbkSn/vzcdfZE8baS7l0IQBKz+Gsd80qxTDIty+1gnsxovcXjQjNRZcgrwc4GwdmI5mD+KTIA4yu6KhmkZzD/KHmXJOPdJmKVdMIzIsi/edESFvZe+0fyNam1IbVTzti4PCj0xYx2iGSThQjCVVOqUfZK7yMRs2Mk8mXkPOfV6EHDIOFUwMOux4UZYVEGQQ/v+pCNpomziAPy1kmsT/mmBpgkecFLnwwq729NHA7tz4o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20E2CDD-BD07-4EB5-A58D-1232FCBF3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4449</Words>
  <Characters>25365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Dung</cp:lastModifiedBy>
  <cp:revision>13</cp:revision>
  <cp:lastPrinted>2021-10-19T01:01:00Z</cp:lastPrinted>
  <dcterms:created xsi:type="dcterms:W3CDTF">2025-06-11T08:25:00Z</dcterms:created>
  <dcterms:modified xsi:type="dcterms:W3CDTF">2025-06-11T08:48:00Z</dcterms:modified>
</cp:coreProperties>
</file>